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60" w:after="80" w:line="240" w:lineRule="auto"/>
      </w:pPr>
      <w:r>
        <w:rPr>
          <w:rFonts w:ascii="Calibri" w:hAnsi="Calibri"/>
          <w:b/>
          <w:i w:val="0"/>
          <w:color w:val="2E74B5"/>
          <w:sz w:val="18"/>
        </w:rPr>
        <w:t>GMCL STAFF QUICK GUIDE</w:t>
      </w:r>
    </w:p>
    <w:p>
      <w:pPr>
        <w:keepNext/>
        <w:spacing w:before="0" w:after="120" w:line="240" w:lineRule="auto"/>
      </w:pPr>
      <w:r>
        <w:rPr>
          <w:rFonts w:ascii="Calibri" w:hAnsi="Calibri"/>
          <w:b/>
          <w:i w:val="0"/>
          <w:color w:val="1F4D78"/>
          <w:sz w:val="56"/>
        </w:rPr>
        <w:t>Ineligible-player work</w:t>
      </w:r>
    </w:p>
    <w:p>
      <w:pPr>
        <w:keepNext w:val="0"/>
        <w:spacing w:before="0" w:after="320" w:line="276" w:lineRule="auto"/>
      </w:pPr>
      <w:r>
        <w:rPr>
          <w:rFonts w:ascii="Calibri" w:hAnsi="Calibri"/>
          <w:b w:val="0"/>
          <w:i w:val="0"/>
          <w:color w:val="66717D"/>
          <w:sz w:val="28"/>
        </w:rPr>
        <w:t>Three routes. One controlled case process.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shd w:fill="E8EEF5"/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Audience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GMCL casework staff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shd w:fill="E8EEF5"/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Raise, import and reconcile safely</w:t>
            </w:r>
          </w:p>
        </w:tc>
      </w:tr>
    </w:tbl>
    <w:p>
      <w:pPr>
        <w:keepNext w:val="0"/>
        <w:spacing w:before="0" w:after="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IMPORTANT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Importing is not the same as raising a case. The Google Form import brings reports in for staff to choose and review. The tracker applies historical information only. Staff deliberately raise every live case.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1"/>
      </w:pPr>
      <w:r>
        <w:t>Start here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>Sign in to the GMCL admin portal.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On </w:t>
      </w:r>
      <w:r>
        <w:rPr>
          <w:rFonts w:ascii="Calibri" w:hAnsi="Calibri"/>
          <w:b/>
          <w:i w:val="0"/>
          <w:color w:val="20252B"/>
          <w:sz w:val="22"/>
        </w:rPr>
        <w:t>Ineligible-player cases</w:t>
      </w:r>
      <w:r>
        <w:rPr>
          <w:rFonts w:ascii="Calibri" w:hAnsi="Calibri"/>
          <w:b w:val="0"/>
          <w:i w:val="0"/>
          <w:color w:val="20252B"/>
          <w:sz w:val="22"/>
        </w:rPr>
        <w:t>, choose the route that matches your task.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750"/>
        <w:gridCol w:w="4610"/>
      </w:tblGrid>
      <w:tr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What do you need to do?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Choose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Review one report and raise its case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1 - Raise one case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Import reports and choose which to progress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2 - Import and choose reports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Reconcile the approved historical workbook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3 - Import historical tracker</w:t>
            </w:r>
          </w:p>
        </w:tc>
      </w:tr>
    </w:tbl>
    <w:p>
      <w:pPr>
        <w:pStyle w:val="Heading2"/>
      </w:pPr>
      <w:r>
        <w:t>What 'raise one case manually' means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 w:val="0"/>
          <w:i w:val="0"/>
          <w:color w:val="20252B"/>
          <w:sz w:val="22"/>
        </w:rPr>
        <w:t>An ineligible-player case must start from a private report in the queue. Do not use Add card, ban, fine or points decision to create a blank ineligible-player case.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IF THE REPORT IS MISSING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Complete the current private Google Form, run Route 2, then open the report from the queue.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Route 1 - Raise one case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</w:t>
      </w:r>
      <w:r>
        <w:rPr>
          <w:rFonts w:ascii="Calibri" w:hAnsi="Calibri"/>
          <w:b/>
          <w:i w:val="0"/>
          <w:color w:val="20252B"/>
          <w:sz w:val="22"/>
        </w:rPr>
        <w:t>Route 1 - Raise one case</w:t>
      </w:r>
      <w:r>
        <w:rPr>
          <w:rFonts w:ascii="Calibri" w:hAnsi="Calibri"/>
          <w:b w:val="0"/>
          <w:i w:val="0"/>
          <w:color w:val="20252B"/>
          <w:sz w:val="22"/>
        </w:rPr>
        <w:t xml:space="preserve">, click </w:t>
      </w:r>
      <w:r>
        <w:rPr>
          <w:rFonts w:ascii="Calibri" w:hAnsi="Calibri"/>
          <w:b/>
          <w:i w:val="0"/>
          <w:color w:val="20252B"/>
          <w:sz w:val="22"/>
        </w:rPr>
        <w:t>Open next selected report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If the button says </w:t>
      </w:r>
      <w:r>
        <w:rPr>
          <w:rFonts w:ascii="Calibri" w:hAnsi="Calibri"/>
          <w:b/>
          <w:i w:val="0"/>
          <w:color w:val="20252B"/>
          <w:sz w:val="22"/>
        </w:rPr>
        <w:t>View reports</w:t>
      </w:r>
      <w:r>
        <w:rPr>
          <w:rFonts w:ascii="Calibri" w:hAnsi="Calibri"/>
          <w:b w:val="0"/>
          <w:i w:val="0"/>
          <w:color w:val="20252B"/>
          <w:sz w:val="22"/>
        </w:rPr>
        <w:t xml:space="preserve">, click it, then click </w:t>
      </w:r>
      <w:r>
        <w:rPr>
          <w:rFonts w:ascii="Calibri" w:hAnsi="Calibri"/>
          <w:b/>
          <w:i w:val="0"/>
          <w:color w:val="20252B"/>
          <w:sz w:val="22"/>
        </w:rPr>
        <w:t>Review report</w:t>
      </w:r>
      <w:r>
        <w:rPr>
          <w:rFonts w:ascii="Calibri" w:hAnsi="Calibri"/>
          <w:b w:val="0"/>
          <w:i w:val="0"/>
          <w:color w:val="20252B"/>
          <w:sz w:val="22"/>
        </w:rPr>
        <w:t xml:space="preserve"> beside the correct entry.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Check </w:t>
      </w:r>
      <w:r>
        <w:rPr>
          <w:rFonts w:ascii="Calibri" w:hAnsi="Calibri"/>
          <w:b/>
          <w:i w:val="0"/>
          <w:color w:val="20252B"/>
          <w:sz w:val="22"/>
        </w:rPr>
        <w:t>Reported details</w:t>
      </w:r>
      <w:r>
        <w:rPr>
          <w:rFonts w:ascii="Calibri" w:hAnsi="Calibri"/>
          <w:b w:val="0"/>
          <w:i w:val="0"/>
          <w:color w:val="20252B"/>
          <w:sz w:val="22"/>
        </w:rPr>
        <w:t xml:space="preserve"> and any evidence.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</w:t>
      </w:r>
      <w:r>
        <w:rPr>
          <w:rFonts w:ascii="Calibri" w:hAnsi="Calibri"/>
          <w:b/>
          <w:i w:val="0"/>
          <w:color w:val="20252B"/>
          <w:sz w:val="22"/>
        </w:rPr>
        <w:t>Raise this case</w:t>
      </w:r>
      <w:r>
        <w:rPr>
          <w:rFonts w:ascii="Calibri" w:hAnsi="Calibri"/>
          <w:b w:val="0"/>
          <w:i w:val="0"/>
          <w:color w:val="20252B"/>
          <w:sz w:val="22"/>
        </w:rPr>
        <w:t>, check Offending team, Reporting club, Fixture date and Player.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If needed, click </w:t>
      </w:r>
      <w:r>
        <w:rPr>
          <w:rFonts w:ascii="Calibri" w:hAnsi="Calibri"/>
          <w:b/>
          <w:i w:val="0"/>
          <w:color w:val="20252B"/>
          <w:sz w:val="22"/>
        </w:rPr>
        <w:t>Review case wording</w:t>
      </w:r>
      <w:r>
        <w:rPr>
          <w:rFonts w:ascii="Calibri" w:hAnsi="Calibri"/>
          <w:b w:val="0"/>
          <w:i w:val="0"/>
          <w:color w:val="20252B"/>
          <w:sz w:val="22"/>
        </w:rPr>
        <w:t xml:space="preserve"> and check the recorded allegation and private investigation context.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Raise case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When Case [reference] is ready appears, click </w:t>
      </w:r>
      <w:r>
        <w:rPr>
          <w:rFonts w:ascii="Calibri" w:hAnsi="Calibri"/>
          <w:b/>
          <w:i w:val="0"/>
          <w:color w:val="20252B"/>
          <w:sz w:val="22"/>
        </w:rPr>
        <w:t>Open case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EXPECTED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An investigation opens. No email is sent and no outcome is decided.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2"/>
      </w:pPr>
      <w:r>
        <w:t>If a new case should not be raised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Existing investigation: </w:t>
      </w:r>
      <w:r>
        <w:rPr>
          <w:rFonts w:ascii="Calibri" w:hAnsi="Calibri"/>
          <w:b w:val="0"/>
          <w:i w:val="0"/>
          <w:color w:val="20252B"/>
          <w:sz w:val="22"/>
        </w:rPr>
        <w:t>click Other outcomes, complete Link to an existing case, then click Link and merge intake.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Duplicate report: </w:t>
      </w:r>
      <w:r>
        <w:rPr>
          <w:rFonts w:ascii="Calibri" w:hAnsi="Calibri"/>
          <w:b w:val="0"/>
          <w:i w:val="0"/>
          <w:color w:val="20252B"/>
          <w:sz w:val="22"/>
        </w:rPr>
        <w:t>complete Resolve without a new case, then click Mark duplicate.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Irrelevant or no action: </w:t>
      </w:r>
      <w:r>
        <w:rPr>
          <w:rFonts w:ascii="Calibri" w:hAnsi="Calibri"/>
          <w:b w:val="0"/>
          <w:i w:val="0"/>
          <w:color w:val="20252B"/>
          <w:sz w:val="22"/>
        </w:rPr>
        <w:t>record the reason, then click Ignore intake.</w:t>
      </w:r>
    </w:p>
    <w:p>
      <w:r>
        <w:br w:type="page"/>
      </w:r>
    </w:p>
    <w:p>
      <w:pPr>
        <w:pStyle w:val="Heading1"/>
      </w:pPr>
      <w:r>
        <w:t>Route 2 - Import and choose reports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VALUES, NOT COLOURS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Import the full configured Google response sheet. Do not delete, copy or reorder live response rows; choose the active work on the next screen.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>Make sure the required reports are present in the private Google Form response sheet.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Route 2, click </w:t>
      </w:r>
      <w:r>
        <w:rPr>
          <w:rFonts w:ascii="Calibri" w:hAnsi="Calibri"/>
          <w:b/>
          <w:i w:val="0"/>
          <w:color w:val="20252B"/>
          <w:sz w:val="22"/>
        </w:rPr>
        <w:t>Import and choose reports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>Read the summary. Source rows read is every Google response; added and changed are database updates, so zero is normal on a repeat import.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If the page says </w:t>
      </w:r>
      <w:r>
        <w:rPr>
          <w:rFonts w:ascii="Calibri" w:hAnsi="Calibri"/>
          <w:b/>
          <w:i w:val="0"/>
          <w:color w:val="20252B"/>
          <w:sz w:val="22"/>
        </w:rPr>
        <w:t>Selection is blocked</w:t>
      </w:r>
      <w:r>
        <w:rPr>
          <w:rFonts w:ascii="Calibri" w:hAnsi="Calibri"/>
          <w:b w:val="0"/>
          <w:i w:val="0"/>
          <w:color w:val="20252B"/>
          <w:sz w:val="22"/>
        </w:rPr>
        <w:t>, record the import number and error, plus any spreadsheet row shown, then stop for import or identity help.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Use </w:t>
      </w:r>
      <w:r>
        <w:rPr>
          <w:rFonts w:ascii="Calibri" w:hAnsi="Calibri"/>
          <w:b/>
          <w:i w:val="0"/>
          <w:color w:val="20252B"/>
          <w:sz w:val="22"/>
        </w:rPr>
        <w:t>Fixture from</w:t>
      </w:r>
      <w:r>
        <w:rPr>
          <w:rFonts w:ascii="Calibri" w:hAnsi="Calibri"/>
          <w:b w:val="0"/>
          <w:i w:val="0"/>
          <w:color w:val="20252B"/>
          <w:sz w:val="22"/>
        </w:rPr>
        <w:t>, Fixture to, Order or search to find the current handover.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Tick </w:t>
      </w:r>
      <w:r>
        <w:rPr>
          <w:rFonts w:ascii="Calibri" w:hAnsi="Calibri"/>
          <w:b/>
          <w:i w:val="0"/>
          <w:color w:val="20252B"/>
          <w:sz w:val="22"/>
        </w:rPr>
        <w:t>Progress</w:t>
      </w:r>
      <w:r>
        <w:rPr>
          <w:rFonts w:ascii="Calibri" w:hAnsi="Calibri"/>
          <w:b w:val="0"/>
          <w:i w:val="0"/>
          <w:color w:val="20252B"/>
          <w:sz w:val="22"/>
        </w:rPr>
        <w:t xml:space="preserve"> or use Select all shown. Filtering never unticks a report already selected.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Check the selected total against the current handover, enter a label such as </w:t>
      </w:r>
      <w:r>
        <w:rPr>
          <w:rFonts w:ascii="Calibri" w:hAnsi="Calibri"/>
          <w:b/>
          <w:i w:val="0"/>
          <w:color w:val="20252B"/>
          <w:sz w:val="22"/>
        </w:rPr>
        <w:t>Dave handover - 11 Aug 2026</w:t>
      </w:r>
      <w:r>
        <w:rPr>
          <w:rFonts w:ascii="Calibri" w:hAnsi="Calibri"/>
          <w:b w:val="0"/>
          <w:i w:val="0"/>
          <w:color w:val="20252B"/>
          <w:sz w:val="22"/>
        </w:rPr>
        <w:t>, then save.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Review report</w:t>
      </w:r>
      <w:r>
        <w:rPr>
          <w:rFonts w:ascii="Calibri" w:hAnsi="Calibri"/>
          <w:b w:val="0"/>
          <w:i w:val="0"/>
          <w:color w:val="20252B"/>
          <w:sz w:val="22"/>
        </w:rPr>
        <w:t xml:space="preserve"> beside the first selected report and follow Route 1.</w:t>
      </w:r>
    </w:p>
    <w:p>
      <w:pPr>
        <w:pStyle w:val="Heading2"/>
      </w:pPr>
      <w:r>
        <w:t>If a report looks missing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Clear the search and fixture-date filters.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Open Report history and search for the player.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Do not select the report again if it is already case-raised, linked, duplicate or ignored.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Treat one spreadsheet row as one report, even when its Player box contains several names.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EXPECTED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Selected open reports appear in the normal queue. Unselected open reports are hidden, not deleted. Progressed reports remain in Report history.</w:t>
            </w:r>
          </w:p>
        </w:tc>
      </w:tr>
    </w:tbl>
    <w:p>
      <w:pPr>
        <w:keepNext w:val="0"/>
        <w:spacing w:before="0" w:after="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NEED ATTENTION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A row warning does not automatically mean the report is missing. Read the warning shown beside that report; only an identity or manifest problem blocks selection.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Route 3 - Import the historical tracker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USE ONLY THE APPROVED WORKBOOK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The file must be .xlsx, no larger than 16 MB, with the Form responses 1 sheet and expected columns A to Z.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2"/>
      </w:pPr>
      <w:r>
        <w:t>Step 1 - Upload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Route 3, click </w:t>
      </w:r>
      <w:r>
        <w:rPr>
          <w:rFonts w:ascii="Calibri" w:hAnsi="Calibri"/>
          <w:b/>
          <w:i w:val="0"/>
          <w:color w:val="20252B"/>
          <w:sz w:val="22"/>
        </w:rPr>
        <w:t>Open tracker import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Step 1, click </w:t>
      </w:r>
      <w:r>
        <w:rPr>
          <w:rFonts w:ascii="Calibri" w:hAnsi="Calibri"/>
          <w:b/>
          <w:i w:val="0"/>
          <w:color w:val="20252B"/>
          <w:sz w:val="22"/>
        </w:rPr>
        <w:t>Tracker (.xlsx, max 16 MB)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>Select the approved workbook.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Upload tracker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/>
          <w:i w:val="0"/>
          <w:color w:val="20252B"/>
          <w:sz w:val="22"/>
        </w:rPr>
        <w:t>The system opens</w:t>
      </w:r>
      <w:r>
        <w:rPr>
          <w:rFonts w:ascii="Calibri" w:hAnsi="Calibri"/>
          <w:b w:val="0"/>
          <w:i w:val="0"/>
          <w:color w:val="20252B"/>
          <w:sz w:val="22"/>
        </w:rPr>
        <w:t xml:space="preserve"> Import check #[number].</w:t>
      </w:r>
    </w:p>
    <w:p>
      <w:pPr>
        <w:pStyle w:val="Heading2"/>
      </w:pPr>
      <w:r>
        <w:t>Step 2 - Check every row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Leave </w:t>
      </w:r>
      <w:r>
        <w:rPr>
          <w:rFonts w:ascii="Calibri" w:hAnsi="Calibri"/>
          <w:b/>
          <w:i w:val="0"/>
          <w:color w:val="20252B"/>
          <w:sz w:val="22"/>
        </w:rPr>
        <w:t>Needs checking</w:t>
      </w:r>
      <w:r>
        <w:rPr>
          <w:rFonts w:ascii="Calibri" w:hAnsi="Calibri"/>
          <w:b w:val="0"/>
          <w:i w:val="0"/>
          <w:color w:val="20252B"/>
          <w:sz w:val="22"/>
        </w:rPr>
        <w:t xml:space="preserve"> selected.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Review the totals for </w:t>
      </w:r>
      <w:r>
        <w:rPr>
          <w:rFonts w:ascii="Calibri" w:hAnsi="Calibri"/>
          <w:b/>
          <w:i w:val="0"/>
          <w:color w:val="20252B"/>
          <w:sz w:val="22"/>
        </w:rPr>
        <w:t>Needs checking</w:t>
      </w:r>
      <w:r>
        <w:rPr>
          <w:rFonts w:ascii="Calibri" w:hAnsi="Calibri"/>
          <w:b w:val="0"/>
          <w:i w:val="0"/>
          <w:color w:val="20252B"/>
          <w:sz w:val="22"/>
        </w:rPr>
        <w:t>, Suggested matches and Needs help.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>Check the player, club, team, suggested Google intake and historical state on each row.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For a correct straightforward suggestion, click </w:t>
      </w:r>
      <w:r>
        <w:rPr>
          <w:rFonts w:ascii="Calibri" w:hAnsi="Calibri"/>
          <w:b/>
          <w:i w:val="0"/>
          <w:color w:val="20252B"/>
          <w:sz w:val="22"/>
        </w:rPr>
        <w:t>Confirm suggested match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Repeat until every straightforward row has moved to </w:t>
      </w:r>
      <w:r>
        <w:rPr>
          <w:rFonts w:ascii="Calibri" w:hAnsi="Calibri"/>
          <w:b/>
          <w:i w:val="0"/>
          <w:color w:val="20252B"/>
          <w:sz w:val="22"/>
        </w:rPr>
        <w:t>Verified history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pStyle w:val="Heading2"/>
      </w:pPr>
      <w:r>
        <w:t>When a row needs the full review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 w:val="0"/>
          <w:i w:val="0"/>
          <w:color w:val="20252B"/>
          <w:sz w:val="22"/>
        </w:rPr>
        <w:t>If Confirm suggested match is not shown: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Check Reconciliation and the Google intake ID.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Choose the Historical case state.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Complete the Points/cards review if it appears.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Record the review reason and reviewer.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Verify row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DO NOT GUESS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Ask the casework lead to review ambiguous matches or points/cards wording.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Finish the tracker import</w:t>
      </w:r>
    </w:p>
    <w:p>
      <w:pPr>
        <w:pStyle w:val="Heading2"/>
      </w:pPr>
      <w:r>
        <w:t>Step 3 - Sign off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When Needs checking reaches zero, find </w:t>
      </w:r>
      <w:r>
        <w:rPr>
          <w:rFonts w:ascii="Calibri" w:hAnsi="Calibri"/>
          <w:b/>
          <w:i w:val="0"/>
          <w:color w:val="20252B"/>
          <w:sz w:val="22"/>
        </w:rPr>
        <w:t>Step 3 - Sign off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>Check Your name and read the confirmation statement.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>Tick Save my name and confirmation in the audit history.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Sign off import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pStyle w:val="Heading2"/>
      </w:pPr>
      <w:r>
        <w:t>Step 4 - Apply history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Review the application summary and Application note.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Tick the one-time application confirmation.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Apply signed-off history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TRACKER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Signed-off private history and reviewed open/closed status are applied once. Unmatched or excluded rows remain untouched.</w:t>
            </w:r>
          </w:p>
        </w:tc>
      </w:tr>
    </w:tbl>
    <w:p>
      <w:pPr>
        <w:keepNext w:val="0"/>
        <w:spacing w:before="0" w:after="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WHAT THE TRACKER CANNOT DO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It cannot create a case, decision, sanction, points/cards entry, task, correspondence or email.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1"/>
      </w:pPr>
      <w:r>
        <w:t>After a live case is raised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Open the case and check the evidence and published rule.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Save the initial email and reminder, then send the initial email when ready.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Review the club response and any new evidence.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Prepare the decision and submit it for approval.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A different authorised administrator checks and approves it.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After final previews, issue the approved outcomes.</w:t>
      </w:r>
    </w:p>
    <w:p>
      <w:pPr>
        <w:pStyle w:val="Heading2"/>
      </w:pPr>
      <w:r>
        <w:t>Three safety checks</w:t>
      </w:r>
    </w:p>
    <w:p>
      <w:pPr>
        <w:keepNext w:val="0"/>
        <w:spacing w:before="0" w:after="80" w:line="300" w:lineRule="auto"/>
        <w:numPr>
          <w:ilvl w:val="0"/>
          <w:numId w:val="212"/>
        </w:numPr>
      </w:pPr>
      <w:r>
        <w:rPr>
          <w:rFonts w:ascii="Calibri" w:hAnsi="Calibri"/>
          <w:b w:val="0"/>
          <w:i w:val="0"/>
          <w:color w:val="20252B"/>
          <w:sz w:val="22"/>
        </w:rPr>
        <w:t>Raising a case does not send an email.</w:t>
      </w:r>
    </w:p>
    <w:p>
      <w:pPr>
        <w:keepNext w:val="0"/>
        <w:spacing w:before="0" w:after="80" w:line="300" w:lineRule="auto"/>
        <w:numPr>
          <w:ilvl w:val="0"/>
          <w:numId w:val="212"/>
        </w:numPr>
      </w:pPr>
      <w:r>
        <w:rPr>
          <w:rFonts w:ascii="Calibri" w:hAnsi="Calibri"/>
          <w:b w:val="0"/>
          <w:i w:val="0"/>
          <w:color w:val="20252B"/>
          <w:sz w:val="22"/>
        </w:rPr>
        <w:t>A decision requires approval by a different authorised administrator.</w:t>
      </w:r>
    </w:p>
    <w:p>
      <w:pPr>
        <w:keepNext w:val="0"/>
        <w:spacing w:before="0" w:after="80" w:line="300" w:lineRule="auto"/>
        <w:numPr>
          <w:ilvl w:val="0"/>
          <w:numId w:val="212"/>
        </w:numPr>
      </w:pPr>
      <w:r>
        <w:rPr>
          <w:rFonts w:ascii="Calibri" w:hAnsi="Calibri"/>
          <w:b w:val="0"/>
          <w:i w:val="0"/>
          <w:color w:val="20252B"/>
          <w:sz w:val="22"/>
        </w:rPr>
        <w:t>Outcomes are not sent until Issue approved outcomes is selected.</w:t>
      </w:r>
    </w:p>
    <w:p>
      <w:r>
        <w:br w:type="page"/>
      </w:r>
    </w:p>
    <w:p>
      <w:pPr>
        <w:pStyle w:val="Heading1"/>
      </w:pPr>
      <w:r>
        <w:t>Board flow - controlled intake to outcome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 w:val="0"/>
          <w:i w:val="0"/>
          <w:color w:val="20252B"/>
          <w:sz w:val="22"/>
        </w:rPr>
        <w:t>Every source row is accounted for, but only open and unlinked reports are offered for selection.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1  SAFE IMPORT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Read every configured Google Form response into the private intake area. Nothing is deleted and no case or email is created.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OPEN + UNLINKED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ALREADY PROGRESSED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IDENTITY NEEDS HELP</w:t>
            </w:r>
          </w:p>
        </w:tc>
      </w:tr>
      <w:tr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Available to choose</w:t>
            </w:r>
          </w:p>
        </w:tc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Retained in report history or its case</w:t>
            </w:r>
          </w:p>
        </w:tc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Selection blocks for manual checking</w:t>
            </w:r>
          </w:p>
        </w:tc>
      </w:tr>
    </w:tbl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2  STAFF SELECTION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Staff tick the exact open reports to progress and save the work list.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SELECTED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NOT SELECTED</w:t>
            </w:r>
          </w:p>
        </w:tc>
      </w:tr>
      <w:tr>
        <w:tc>
          <w:tcPr>
            <w:tcW w:type="dxa" w:w="468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Shown in the normal work queue</w:t>
              <w:br/>
              <w:t>Continues below for individual review</w:t>
            </w:r>
          </w:p>
        </w:tc>
        <w:tc>
          <w:tcPr>
            <w:tcW w:type="dxa" w:w="468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Hidden from the normal queue</w:t>
              <w:br/>
              <w:t>Retained until deliberately reselected</w:t>
            </w:r>
          </w:p>
        </w:tc>
      </w:tr>
    </w:tbl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p>
      <w:pPr>
        <w:pStyle w:val="Heading2"/>
      </w:pPr>
      <w:r>
        <w:t>Selected branch - one report at a time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NEW MATTER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EXISTING MATTER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DUPLICATE / NO ACTION</w:t>
            </w:r>
          </w:p>
        </w:tc>
      </w:tr>
      <w:tr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Raise a case</w:t>
              <w:br/>
              <w:t>No email is sent</w:t>
            </w:r>
          </w:p>
        </w:tc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Link to the existing case</w:t>
            </w:r>
          </w:p>
        </w:tc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Resolve the report with a reason</w:t>
            </w:r>
          </w:p>
        </w:tc>
      </w:tr>
    </w:tbl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3  CASE CONTROL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Investigate and contact the club  -&gt;  prepare a decision  -&gt;  independent approval  -&gt;  issue approved outcomes.</w:t>
            </w:r>
          </w:p>
        </w:tc>
      </w:tr>
    </w:tbl>
    <w:p>
      <w:pPr>
        <w:keepNext w:val="0"/>
        <w:spacing w:before="0" w:after="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/>
        <w:b w:val="0"/>
        <w:i w:val="0"/>
        <w:color w:val="66717D"/>
        <w:sz w:val="16"/>
      </w:rPr>
      <w:t xml:space="preserve">GMCL quick guide  |  August 2026  |  Page </w:t>
    </w:r>
    <w:r>
      <w:rPr>
        <w:rFonts w:ascii="Calibri" w:hAnsi="Calibri"/>
        <w:b w:val="0"/>
        <w:i w:val="0"/>
        <w:color w:val="66717D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1250"/>
      <w:gridCol w:w="8110"/>
    </w:tblGrid>
    <w:tr>
      <w:tc>
        <w:tcPr>
          <w:tcW w:type="dxa" w:w="125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bottom w:val="single" w:sz="6" w:color="D7DBE2"/>
          </w:tcBorders>
        </w:tcPr>
        <w:p>
          <w:pPr>
            <w:keepNext w:val="0"/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566928" cy="14624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mc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928" cy="14624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1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bottom w:val="single" w:sz="6" w:color="D7DBE2"/>
          </w:tcBorders>
        </w:tcPr>
        <w:p>
          <w:pPr>
            <w:keepNext w:val="0"/>
            <w:spacing w:before="0" w:after="0" w:line="240" w:lineRule="auto"/>
            <w:jc w:val="right"/>
          </w:pPr>
          <w:r>
            <w:rPr>
              <w:rFonts w:ascii="Calibri" w:hAnsi="Calibri"/>
              <w:b/>
              <w:i w:val="0"/>
              <w:color w:val="66717D"/>
              <w:sz w:val="16"/>
            </w:rPr>
            <w:t>GMCL  |  INELIGIBLE-PLAYER WORK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before="0" w:after="80" w:line="300" w:lineRule="auto"/>
      </w:pPr>
      <w:rPr>
        <w:rFonts w:ascii="Calibri" w:hAnsi="Calibri"/>
        <w:color w:val="2E74B5"/>
      </w:rPr>
    </w:lvl>
  </w:abstractNum>
  <w:abstractNum w:abstractNumId="9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before="0" w:after="80" w:line="300" w:lineRule="auto"/>
      </w:pPr>
      <w:rPr>
        <w:rFonts w:ascii="Calibri" w:hAnsi="Calibri"/>
        <w:color w:val="2E74B5"/>
      </w:rPr>
    </w:lvl>
  </w:abstractNum>
  <w:num w:numId="201">
    <w:abstractNumId w:val="90"/>
    <w:lvlOverride w:ilvl="0">
      <w:startOverride w:val="1"/>
    </w:lvlOverride>
  </w:num>
  <w:num w:numId="202">
    <w:abstractNumId w:val="90"/>
    <w:lvlOverride w:ilvl="0">
      <w:startOverride w:val="1"/>
    </w:lvlOverride>
  </w:num>
  <w:num w:numId="203">
    <w:abstractNumId w:val="91"/>
    <w:lvlOverride w:ilvl="0">
      <w:startOverride w:val="1"/>
    </w:lvlOverride>
  </w:num>
  <w:num w:numId="204">
    <w:abstractNumId w:val="90"/>
    <w:lvlOverride w:ilvl="0">
      <w:startOverride w:val="1"/>
    </w:lvlOverride>
  </w:num>
  <w:num w:numId="205">
    <w:abstractNumId w:val="90"/>
    <w:lvlOverride w:ilvl="0">
      <w:startOverride w:val="1"/>
    </w:lvlOverride>
  </w:num>
  <w:num w:numId="206">
    <w:abstractNumId w:val="90"/>
    <w:lvlOverride w:ilvl="0">
      <w:startOverride w:val="1"/>
    </w:lvlOverride>
  </w:num>
  <w:num w:numId="207">
    <w:abstractNumId w:val="90"/>
    <w:lvlOverride w:ilvl="0">
      <w:startOverride w:val="1"/>
    </w:lvlOverride>
  </w:num>
  <w:num w:numId="208">
    <w:abstractNumId w:val="90"/>
    <w:lvlOverride w:ilvl="0">
      <w:startOverride w:val="1"/>
    </w:lvlOverride>
  </w:num>
  <w:num w:numId="209">
    <w:abstractNumId w:val="90"/>
    <w:lvlOverride w:ilvl="0">
      <w:startOverride w:val="1"/>
    </w:lvlOverride>
  </w:num>
  <w:num w:numId="210">
    <w:abstractNumId w:val="90"/>
    <w:lvlOverride w:ilvl="0">
      <w:startOverride w:val="1"/>
    </w:lvlOverride>
  </w:num>
  <w:num w:numId="211">
    <w:abstractNumId w:val="90"/>
    <w:lvlOverride w:ilvl="0">
      <w:startOverride w:val="1"/>
    </w:lvlOverride>
  </w:num>
  <w:num w:numId="212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GMCL Ineligible-player Work - Quick Guide</dc:title>
  <dc:subject>Click-by-click staff guide for import selection, live casework, tracker reconciliation and board assurance</dc:subject>
  <dc:creator>Greater Manchester Cricket League</dc:creator>
  <cp:keywords>GMCL, ineligible player, quick guide, Google Form, selection, hidden reports, tracker, board flow</cp:keywords>
  <dc:description>compact_reference_guide preset; customer_pack header pattern; August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