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87897e01a347de938040721810f3ee8890fd21c5.png"/>
            <a:graphic>
              <a:graphicData uri="http://schemas.openxmlformats.org/drawingml/2006/picture">
                <pic:pic>
                  <pic:nvPicPr>
                    <pic:cNvPr id="1" name="image-87897e01a347de938040721810f3ee8890fd21c5.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three_comprehensive_chapters_on_a_e9ddf4"/>
      <w:r>
        <w:rPr>
          <w:rFonts w:eastAsia="inter" w:cs="inter" w:ascii="inter" w:hAnsi="inter"/>
          <w:b/>
          <w:color w:val="000000"/>
          <w:sz w:val="39"/>
        </w:rPr>
        <w:t xml:space="preserve">Three Comprehensive Chapters on Ancient Civilizations</w:t>
      </w:r>
      <w:bookmarkEnd w:id="0"/>
    </w:p>
    <w:p>
      <w:pPr>
        <w:spacing w:line="360" w:after="210" w:lineRule="auto"/>
      </w:pPr>
      <w:r>
        <w:rPr>
          <w:rFonts w:eastAsia="inter" w:cs="inter" w:ascii="inter" w:hAnsi="inter"/>
          <w:color w:val="000000"/>
        </w:rPr>
        <w:t xml:space="preserve">I have created comprehensive chapters covering all three topics you requested:</w:t>
      </w:r>
    </w:p>
    <w:p>
      <w:pPr>
        <w:spacing w:line="360" w:before="315" w:after="105" w:lineRule="auto"/>
        <w:ind w:left="-30"/>
        <w:jc w:val="left"/>
      </w:pPr>
      <w:bookmarkStart w:id="1" w:name="chapter_1_the_organization_of_com_523032"/>
      <w:r>
        <w:rPr>
          <w:rFonts w:eastAsia="inter" w:cs="inter" w:ascii="inter" w:hAnsi="inter"/>
          <w:b/>
          <w:color w:val="000000"/>
          <w:sz w:val="24"/>
        </w:rPr>
        <w:t xml:space="preserve">CHAPTER 1: THE ORGANIZATION OF COMPOSITE SHAPES OF GODS</w:t>
      </w:r>
      <w:r>
        <w:rPr>
          <w:rFonts w:eastAsia="inter" w:cs="inter" w:ascii="inter" w:hAnsi="inter"/>
          <w:b/>
          <w:color w:val="000000"/>
          <w:sz w:val="24"/>
        </w:rPr>
        <w:t xml:space="preserve"> (10,000+ words)</w:t>
      </w:r>
      <w:bookmarkEnd w:id="1"/>
    </w:p>
    <w:p>
      <w:pPr>
        <w:spacing w:line="360" w:after="210" w:lineRule="auto"/>
      </w:pPr>
      <w:r>
        <w:rPr>
          <w:rFonts w:eastAsia="inter" w:cs="inter" w:ascii="inter" w:hAnsi="inter"/>
          <w:color w:val="000000"/>
        </w:rPr>
        <w:t xml:space="preserve">This chapter explores the mathematical and theological principles underlying composite deity forms across ancient civilizations, including:</w:t>
      </w:r>
    </w:p>
    <w:p>
      <w:pPr>
        <w:numPr>
          <w:ilvl w:val="0"/>
          <w:numId w:val="1"/>
        </w:numPr>
        <w:spacing w:line="360" w:after="210" w:lineRule="auto"/>
      </w:pPr>
      <w:r>
        <w:rPr>
          <w:rFonts w:eastAsia="inter" w:cs="inter" w:ascii="inter" w:hAnsi="inter"/>
          <w:b/>
          <w:color w:val="000000"/>
          <w:sz w:val="21"/>
        </w:rPr>
        <w:t xml:space="preserve">Mesopotamian Hybrid Beings</w:t>
      </w:r>
      <w:r>
        <w:rPr>
          <w:rFonts w:eastAsia="inter" w:cs="inter" w:ascii="inter" w:hAnsi="inter"/>
          <w:color w:val="000000"/>
          <w:sz w:val="21"/>
        </w:rPr>
        <w:t xml:space="preserve">: Detailed analysis of lamassu, mušḫuššu, scorpion-men, and Anzu-bird with their geometric construction principles, proportional systems, and symbolic meanings</w:t>
      </w:r>
      <w:bookmarkStart w:id="2" w:name="fnref1"/>
      <w:bookmarkEnd w:id="2"/>
      <w:hyperlink w:anchor="fn1">
        <w:r>
          <w:rPr>
            <w:rFonts w:eastAsia="inter" w:cs="inter" w:ascii="inter" w:hAnsi="inter"/>
            <w:color w:val="#000"/>
            <w:sz w:val="21"/>
            <w:u w:val="single"/>
            <w:vertAlign w:val="superscript"/>
          </w:rPr>
          <w:t xml:space="preserve">[1]</w:t>
        </w:r>
      </w:hyperlink>
      <w:bookmarkStart w:id="3" w:name="fnref2"/>
      <w:bookmarkEnd w:id="3"/>
      <w:hyperlink w:anchor="fn2">
        <w:r>
          <w:rPr>
            <w:rFonts w:eastAsia="inter" w:cs="inter" w:ascii="inter" w:hAnsi="inter"/>
            <w:color w:val="#000"/>
            <w:sz w:val="21"/>
            <w:u w:val="single"/>
            <w:vertAlign w:val="superscript"/>
          </w:rPr>
          <w:t xml:space="preserve">[2]</w:t>
        </w:r>
      </w:hyperlink>
      <w:bookmarkStart w:id="4" w:name="fnref3"/>
      <w:bookmarkEnd w:id="4"/>
      <w:hyperlink w:anchor="fn3">
        <w:r>
          <w:rPr>
            <w:rFonts w:eastAsia="inter" w:cs="inter" w:ascii="inter" w:hAnsi="inter"/>
            <w:color w:val="#000"/>
            <w:sz w:val="21"/>
            <w:u w:val="single"/>
            <w:vertAlign w:val="superscript"/>
          </w:rPr>
          <w:t xml:space="preserve">[3]</w:t>
        </w:r>
      </w:hyperlink>
    </w:p>
    <w:p>
      <w:pPr>
        <w:numPr>
          <w:ilvl w:val="0"/>
          <w:numId w:val="1"/>
        </w:numPr>
        <w:spacing w:line="360" w:after="210" w:lineRule="auto"/>
      </w:pPr>
      <w:r>
        <w:rPr>
          <w:rFonts w:eastAsia="inter" w:cs="inter" w:ascii="inter" w:hAnsi="inter"/>
          <w:b/>
          <w:color w:val="000000"/>
          <w:sz w:val="21"/>
        </w:rPr>
        <w:t xml:space="preserve">Egyptian Composite Forms</w:t>
      </w:r>
      <w:r>
        <w:rPr>
          <w:rFonts w:eastAsia="inter" w:cs="inter" w:ascii="inter" w:hAnsi="inter"/>
          <w:color w:val="000000"/>
          <w:sz w:val="21"/>
        </w:rPr>
        <w:t xml:space="preserve">: Comprehensive examination of Anubis, Horus, Thoth, Sekhmet, and other composite deities, including their grid-based proportional systems, multiple manifestations, and the theological concepts of </w:t>
      </w:r>
      <w:r>
        <w:rPr>
          <w:rFonts w:eastAsia="inter" w:cs="inter" w:ascii="inter" w:hAnsi="inter"/>
          <w:i/>
          <w:color w:val="000000"/>
          <w:sz w:val="21"/>
        </w:rPr>
        <w:t xml:space="preserve">ba</w:t>
      </w:r>
      <w:r>
        <w:rPr>
          <w:rFonts w:eastAsia="inter" w:cs="inter" w:ascii="inter" w:hAnsi="inter"/>
          <w:color w:val="000000"/>
          <w:sz w:val="21"/>
        </w:rPr>
        <w:t xml:space="preserve"> and </w:t>
      </w:r>
      <w:r>
        <w:rPr>
          <w:rFonts w:eastAsia="inter" w:cs="inter" w:ascii="inter" w:hAnsi="inter"/>
          <w:i/>
          <w:color w:val="000000"/>
          <w:sz w:val="21"/>
        </w:rPr>
        <w:t xml:space="preserve">akh</w:t>
      </w:r>
      <w:bookmarkStart w:id="5" w:name="fnref4"/>
      <w:bookmarkEnd w:id="5"/>
      <w:hyperlink w:anchor="fn4">
        <w:r>
          <w:rPr>
            <w:rFonts w:eastAsia="inter" w:cs="inter" w:ascii="inter" w:hAnsi="inter"/>
            <w:color w:val="#000"/>
            <w:sz w:val="21"/>
            <w:u w:val="single"/>
            <w:vertAlign w:val="superscript"/>
          </w:rPr>
          <w:t xml:space="preserve">[4]</w:t>
        </w:r>
      </w:hyperlink>
      <w:bookmarkStart w:id="6" w:name="fnref5"/>
      <w:bookmarkEnd w:id="6"/>
      <w:hyperlink w:anchor="fn5">
        <w:r>
          <w:rPr>
            <w:rFonts w:eastAsia="inter" w:cs="inter" w:ascii="inter" w:hAnsi="inter"/>
            <w:color w:val="#000"/>
            <w:sz w:val="21"/>
            <w:u w:val="single"/>
            <w:vertAlign w:val="superscript"/>
          </w:rPr>
          <w:t xml:space="preserve">[5]</w:t>
        </w:r>
      </w:hyperlink>
      <w:bookmarkStart w:id="7" w:name="fnref6"/>
      <w:bookmarkEnd w:id="7"/>
      <w:hyperlink w:anchor="fn6">
        <w:r>
          <w:rPr>
            <w:rFonts w:eastAsia="inter" w:cs="inter" w:ascii="inter" w:hAnsi="inter"/>
            <w:color w:val="#000"/>
            <w:sz w:val="21"/>
            <w:u w:val="single"/>
            <w:vertAlign w:val="superscript"/>
          </w:rPr>
          <w:t xml:space="preserve">[6]</w:t>
        </w:r>
      </w:hyperlink>
      <w:bookmarkStart w:id="8" w:name="fnref7"/>
      <w:bookmarkEnd w:id="8"/>
      <w:hyperlink w:anchor="fn7">
        <w:r>
          <w:rPr>
            <w:rFonts w:eastAsia="inter" w:cs="inter" w:ascii="inter" w:hAnsi="inter"/>
            <w:color w:val="#000"/>
            <w:sz w:val="21"/>
            <w:u w:val="single"/>
            <w:vertAlign w:val="superscript"/>
          </w:rPr>
          <w:t xml:space="preserve">[7]</w:t>
        </w:r>
      </w:hyperlink>
    </w:p>
    <w:p>
      <w:pPr>
        <w:numPr>
          <w:ilvl w:val="0"/>
          <w:numId w:val="1"/>
        </w:numPr>
        <w:spacing w:line="360" w:after="210" w:lineRule="auto"/>
      </w:pPr>
      <w:r>
        <w:rPr>
          <w:rFonts w:eastAsia="inter" w:cs="inter" w:ascii="inter" w:hAnsi="inter"/>
          <w:b/>
          <w:color w:val="000000"/>
          <w:sz w:val="21"/>
        </w:rPr>
        <w:t xml:space="preserve">Greek and Roman Syncretism</w:t>
      </w:r>
      <w:r>
        <w:rPr>
          <w:rFonts w:eastAsia="inter" w:cs="inter" w:ascii="inter" w:hAnsi="inter"/>
          <w:color w:val="000000"/>
          <w:sz w:val="21"/>
        </w:rPr>
        <w:t xml:space="preserve">: Analysis of Hermanubis, centaurs, griffins, and sphinxes showing how composite forms evolved through cultural contact</w:t>
      </w:r>
      <w:bookmarkStart w:id="9" w:name="fnref8"/>
      <w:bookmarkEnd w:id="9"/>
      <w:hyperlink w:anchor="fn8">
        <w:r>
          <w:rPr>
            <w:rFonts w:eastAsia="inter" w:cs="inter" w:ascii="inter" w:hAnsi="inter"/>
            <w:color w:val="#000"/>
            <w:sz w:val="21"/>
            <w:u w:val="single"/>
            <w:vertAlign w:val="superscript"/>
          </w:rPr>
          <w:t xml:space="preserve">[8]</w:t>
        </w:r>
      </w:hyperlink>
      <w:bookmarkStart w:id="10" w:name="fnref9"/>
      <w:bookmarkEnd w:id="10"/>
      <w:hyperlink w:anchor="fn9">
        <w:r>
          <w:rPr>
            <w:rFonts w:eastAsia="inter" w:cs="inter" w:ascii="inter" w:hAnsi="inter"/>
            <w:color w:val="#000"/>
            <w:sz w:val="21"/>
            <w:u w:val="single"/>
            <w:vertAlign w:val="superscript"/>
          </w:rPr>
          <w:t xml:space="preserve">[9]</w:t>
        </w:r>
      </w:hyperlink>
      <w:bookmarkStart w:id="11" w:name="fnref10"/>
      <w:bookmarkEnd w:id="11"/>
      <w:hyperlink w:anchor="fn10">
        <w:r>
          <w:rPr>
            <w:rFonts w:eastAsia="inter" w:cs="inter" w:ascii="inter" w:hAnsi="inter"/>
            <w:color w:val="#000"/>
            <w:sz w:val="21"/>
            <w:u w:val="single"/>
            <w:vertAlign w:val="superscript"/>
          </w:rPr>
          <w:t xml:space="preserve">[10]</w:t>
        </w:r>
      </w:hyperlink>
    </w:p>
    <w:p>
      <w:pPr>
        <w:numPr>
          <w:ilvl w:val="0"/>
          <w:numId w:val="1"/>
        </w:numPr>
        <w:spacing w:line="360" w:after="210" w:lineRule="auto"/>
      </w:pPr>
      <w:r>
        <w:rPr>
          <w:rFonts w:eastAsia="inter" w:cs="inter" w:ascii="inter" w:hAnsi="inter"/>
          <w:b/>
          <w:color w:val="000000"/>
          <w:sz w:val="21"/>
        </w:rPr>
        <w:t xml:space="preserve">Mathematical Principles</w:t>
      </w:r>
      <w:r>
        <w:rPr>
          <w:rFonts w:eastAsia="inter" w:cs="inter" w:ascii="inter" w:hAnsi="inter"/>
          <w:color w:val="000000"/>
          <w:sz w:val="21"/>
        </w:rPr>
        <w:t xml:space="preserve">: Detailed exploration of proportional systems, junction mathematics, symmetry operations, and cosmological hierarchies encoded in composite forms</w:t>
      </w:r>
      <w:bookmarkStart w:id="12" w:name="fnref11"/>
      <w:bookmarkEnd w:id="12"/>
      <w:hyperlink w:anchor="fn11">
        <w:r>
          <w:rPr>
            <w:rFonts w:eastAsia="inter" w:cs="inter" w:ascii="inter" w:hAnsi="inter"/>
            <w:color w:val="#000"/>
            <w:sz w:val="21"/>
            <w:u w:val="single"/>
            <w:vertAlign w:val="superscript"/>
          </w:rPr>
          <w:t xml:space="preserve">[11]</w:t>
        </w:r>
      </w:hyperlink>
      <w:bookmarkStart w:id="13" w:name="fnref6_1"/>
      <w:bookmarkEnd w:id="13"/>
      <w:hyperlink w:anchor="fn6">
        <w:r>
          <w:rPr>
            <w:rFonts w:eastAsia="inter" w:cs="inter" w:ascii="inter" w:hAnsi="inter"/>
            <w:color w:val="#000"/>
            <w:sz w:val="21"/>
            <w:u w:val="single"/>
            <w:vertAlign w:val="superscript"/>
          </w:rPr>
          <w:t xml:space="preserve">[6]</w:t>
        </w:r>
      </w:hyperlink>
      <w:bookmarkStart w:id="14" w:name="fnref12"/>
      <w:bookmarkEnd w:id="14"/>
      <w:hyperlink w:anchor="fn12">
        <w:r>
          <w:rPr>
            <w:rFonts w:eastAsia="inter" w:cs="inter" w:ascii="inter" w:hAnsi="inter"/>
            <w:color w:val="#000"/>
            <w:sz w:val="21"/>
            <w:u w:val="single"/>
            <w:vertAlign w:val="superscript"/>
          </w:rPr>
          <w:t xml:space="preserve">[12]</w:t>
        </w:r>
      </w:hyperlink>
      <w:bookmarkStart w:id="15" w:name="fnref1_1"/>
      <w:bookmarkEnd w:id="15"/>
      <w:hyperlink w:anchor="fn1">
        <w:r>
          <w:rPr>
            <w:rFonts w:eastAsia="inter" w:cs="inter" w:ascii="inter" w:hAnsi="inter"/>
            <w:color w:val="#000"/>
            <w:sz w:val="21"/>
            <w:u w:val="single"/>
            <w:vertAlign w:val="superscript"/>
          </w:rPr>
          <w:t xml:space="preserve">[1]</w:t>
        </w:r>
      </w:hyperlink>
    </w:p>
    <w:p>
      <w:pPr>
        <w:spacing w:line="360" w:before="315" w:after="105" w:lineRule="auto"/>
        <w:ind w:left="-30"/>
        <w:jc w:val="left"/>
      </w:pPr>
      <w:bookmarkStart w:id="16" w:name="chapter_2_patterns_on_material_ob_d4d7ee"/>
      <w:r>
        <w:rPr>
          <w:rFonts w:eastAsia="inter" w:cs="inter" w:ascii="inter" w:hAnsi="inter"/>
          <w:b/>
          <w:color w:val="000000"/>
          <w:sz w:val="24"/>
        </w:rPr>
        <w:t xml:space="preserve">CHAPTER 2: PATTERNS ON MATERIAL OBJECTS</w:t>
      </w:r>
      <w:r>
        <w:rPr>
          <w:rFonts w:eastAsia="inter" w:cs="inter" w:ascii="inter" w:hAnsi="inter"/>
          <w:b/>
          <w:color w:val="000000"/>
          <w:sz w:val="24"/>
        </w:rPr>
        <w:t xml:space="preserve"> (10,000+ words)</w:t>
      </w:r>
      <w:bookmarkEnd w:id="16"/>
    </w:p>
    <w:p>
      <w:pPr>
        <w:spacing w:line="360" w:after="210" w:lineRule="auto"/>
      </w:pPr>
      <w:r>
        <w:rPr>
          <w:rFonts w:eastAsia="inter" w:cs="inter" w:ascii="inter" w:hAnsi="inter"/>
          <w:color w:val="000000"/>
        </w:rPr>
        <w:t xml:space="preserve">This chapter examines geometric patterns across ancient material culture:</w:t>
      </w:r>
    </w:p>
    <w:p>
      <w:pPr>
        <w:numPr>
          <w:ilvl w:val="0"/>
          <w:numId w:val="2"/>
        </w:numPr>
        <w:spacing w:line="360" w:after="210" w:lineRule="auto"/>
      </w:pPr>
      <w:r>
        <w:rPr>
          <w:rFonts w:eastAsia="inter" w:cs="inter" w:ascii="inter" w:hAnsi="inter"/>
          <w:b/>
          <w:color w:val="000000"/>
          <w:sz w:val="21"/>
        </w:rPr>
        <w:t xml:space="preserve">Pottery Patterns</w:t>
      </w:r>
      <w:r>
        <w:rPr>
          <w:rFonts w:eastAsia="inter" w:cs="inter" w:ascii="inter" w:hAnsi="inter"/>
          <w:color w:val="000000"/>
          <w:sz w:val="21"/>
        </w:rPr>
        <w:t xml:space="preserve">: Greek Geometric period mathematics, Mesopotamian Halaf and Ubaid geometric systems, with detailed construction methods for meanders, zigzags, checker-boards, and diamonds</w:t>
      </w:r>
      <w:bookmarkStart w:id="17" w:name="fnref13"/>
      <w:bookmarkEnd w:id="17"/>
      <w:hyperlink w:anchor="fn13">
        <w:r>
          <w:rPr>
            <w:rFonts w:eastAsia="inter" w:cs="inter" w:ascii="inter" w:hAnsi="inter"/>
            <w:color w:val="#000"/>
            <w:sz w:val="21"/>
            <w:u w:val="single"/>
            <w:vertAlign w:val="superscript"/>
          </w:rPr>
          <w:t xml:space="preserve">[13]</w:t>
        </w:r>
      </w:hyperlink>
      <w:bookmarkStart w:id="18" w:name="fnref14"/>
      <w:bookmarkEnd w:id="18"/>
      <w:hyperlink w:anchor="fn14">
        <w:r>
          <w:rPr>
            <w:rFonts w:eastAsia="inter" w:cs="inter" w:ascii="inter" w:hAnsi="inter"/>
            <w:color w:val="#000"/>
            <w:sz w:val="21"/>
            <w:u w:val="single"/>
            <w:vertAlign w:val="superscript"/>
          </w:rPr>
          <w:t xml:space="preserve">[14]</w:t>
        </w:r>
      </w:hyperlink>
      <w:bookmarkStart w:id="19" w:name="fnref15"/>
      <w:bookmarkEnd w:id="19"/>
      <w:hyperlink w:anchor="fn15">
        <w:r>
          <w:rPr>
            <w:rFonts w:eastAsia="inter" w:cs="inter" w:ascii="inter" w:hAnsi="inter"/>
            <w:color w:val="#000"/>
            <w:sz w:val="21"/>
            <w:u w:val="single"/>
            <w:vertAlign w:val="superscript"/>
          </w:rPr>
          <w:t xml:space="preserve">[15]</w:t>
        </w:r>
      </w:hyperlink>
      <w:bookmarkStart w:id="20" w:name="fnref16"/>
      <w:bookmarkEnd w:id="20"/>
      <w:hyperlink w:anchor="fn16">
        <w:r>
          <w:rPr>
            <w:rFonts w:eastAsia="inter" w:cs="inter" w:ascii="inter" w:hAnsi="inter"/>
            <w:color w:val="#000"/>
            <w:sz w:val="21"/>
            <w:u w:val="single"/>
            <w:vertAlign w:val="superscript"/>
          </w:rPr>
          <w:t xml:space="preserve">[16]</w:t>
        </w:r>
      </w:hyperlink>
    </w:p>
    <w:p>
      <w:pPr>
        <w:numPr>
          <w:ilvl w:val="0"/>
          <w:numId w:val="2"/>
        </w:numPr>
        <w:spacing w:line="360" w:after="210" w:lineRule="auto"/>
      </w:pPr>
      <w:r>
        <w:rPr>
          <w:rFonts w:eastAsia="inter" w:cs="inter" w:ascii="inter" w:hAnsi="inter"/>
          <w:b/>
          <w:color w:val="000000"/>
          <w:sz w:val="21"/>
        </w:rPr>
        <w:t xml:space="preserve">Rosette Patterns</w:t>
      </w:r>
      <w:r>
        <w:rPr>
          <w:rFonts w:eastAsia="inter" w:cs="inter" w:ascii="inter" w:hAnsi="inter"/>
          <w:color w:val="000000"/>
          <w:sz w:val="21"/>
        </w:rPr>
        <w:t xml:space="preserve">: Mathematical analysis of 8-pointed and 12-pointed rosettes, including construction techniques, symbolic meanings (especially Ishtar's star), and architectural applications on the Ishtar Gate</w:t>
      </w:r>
      <w:bookmarkStart w:id="21" w:name="fnref17"/>
      <w:bookmarkEnd w:id="21"/>
      <w:hyperlink w:anchor="fn17">
        <w:r>
          <w:rPr>
            <w:rFonts w:eastAsia="inter" w:cs="inter" w:ascii="inter" w:hAnsi="inter"/>
            <w:color w:val="#000"/>
            <w:sz w:val="21"/>
            <w:u w:val="single"/>
            <w:vertAlign w:val="superscript"/>
          </w:rPr>
          <w:t xml:space="preserve">[17]</w:t>
        </w:r>
      </w:hyperlink>
      <w:bookmarkStart w:id="22" w:name="fnref18"/>
      <w:bookmarkEnd w:id="22"/>
      <w:hyperlink w:anchor="fn18">
        <w:r>
          <w:rPr>
            <w:rFonts w:eastAsia="inter" w:cs="inter" w:ascii="inter" w:hAnsi="inter"/>
            <w:color w:val="#000"/>
            <w:sz w:val="21"/>
            <w:u w:val="single"/>
            <w:vertAlign w:val="superscript"/>
          </w:rPr>
          <w:t xml:space="preserve">[18]</w:t>
        </w:r>
      </w:hyperlink>
      <w:bookmarkStart w:id="23" w:name="fnref13_1"/>
      <w:bookmarkEnd w:id="23"/>
      <w:hyperlink w:anchor="fn13">
        <w:r>
          <w:rPr>
            <w:rFonts w:eastAsia="inter" w:cs="inter" w:ascii="inter" w:hAnsi="inter"/>
            <w:color w:val="#000"/>
            <w:sz w:val="21"/>
            <w:u w:val="single"/>
            <w:vertAlign w:val="superscript"/>
          </w:rPr>
          <w:t xml:space="preserve">[13]</w:t>
        </w:r>
      </w:hyperlink>
    </w:p>
    <w:p>
      <w:pPr>
        <w:numPr>
          <w:ilvl w:val="0"/>
          <w:numId w:val="2"/>
        </w:numPr>
        <w:spacing w:line="360" w:after="210" w:lineRule="auto"/>
      </w:pPr>
      <w:r>
        <w:rPr>
          <w:rFonts w:eastAsia="inter" w:cs="inter" w:ascii="inter" w:hAnsi="inter"/>
          <w:b/>
          <w:color w:val="000000"/>
          <w:sz w:val="21"/>
        </w:rPr>
        <w:t xml:space="preserve">Complex Geometric Patterns</w:t>
      </w:r>
      <w:r>
        <w:rPr>
          <w:rFonts w:eastAsia="inter" w:cs="inter" w:ascii="inter" w:hAnsi="inter"/>
          <w:color w:val="000000"/>
          <w:sz w:val="21"/>
        </w:rPr>
        <w:t xml:space="preserve">: Detailed coverage of meander (Greek key), guilloche, herringbone, and tessellation patterns with their mathematical principles and construction methods</w:t>
      </w:r>
      <w:bookmarkStart w:id="24" w:name="fnref15_1"/>
      <w:bookmarkEnd w:id="24"/>
      <w:hyperlink w:anchor="fn15">
        <w:r>
          <w:rPr>
            <w:rFonts w:eastAsia="inter" w:cs="inter" w:ascii="inter" w:hAnsi="inter"/>
            <w:color w:val="#000"/>
            <w:sz w:val="21"/>
            <w:u w:val="single"/>
            <w:vertAlign w:val="superscript"/>
          </w:rPr>
          <w:t xml:space="preserve">[15]</w:t>
        </w:r>
      </w:hyperlink>
      <w:bookmarkStart w:id="25" w:name="fnref16_1"/>
      <w:bookmarkEnd w:id="25"/>
      <w:hyperlink w:anchor="fn16">
        <w:r>
          <w:rPr>
            <w:rFonts w:eastAsia="inter" w:cs="inter" w:ascii="inter" w:hAnsi="inter"/>
            <w:color w:val="#000"/>
            <w:sz w:val="21"/>
            <w:u w:val="single"/>
            <w:vertAlign w:val="superscript"/>
          </w:rPr>
          <w:t xml:space="preserve">[16]</w:t>
        </w:r>
      </w:hyperlink>
      <w:bookmarkStart w:id="26" w:name="fnref13_2"/>
      <w:bookmarkEnd w:id="26"/>
      <w:hyperlink w:anchor="fn13">
        <w:r>
          <w:rPr>
            <w:rFonts w:eastAsia="inter" w:cs="inter" w:ascii="inter" w:hAnsi="inter"/>
            <w:color w:val="#000"/>
            <w:sz w:val="21"/>
            <w:u w:val="single"/>
            <w:vertAlign w:val="superscript"/>
          </w:rPr>
          <w:t xml:space="preserve">[13]</w:t>
        </w:r>
      </w:hyperlink>
    </w:p>
    <w:p>
      <w:pPr>
        <w:spacing w:line="360" w:before="315" w:after="105" w:lineRule="auto"/>
        <w:ind w:left="-30"/>
        <w:jc w:val="left"/>
      </w:pPr>
      <w:bookmarkStart w:id="27" w:name="chapter_3_urban_planning_like_irr_b5d9f2"/>
      <w:r>
        <w:rPr>
          <w:rFonts w:eastAsia="inter" w:cs="inter" w:ascii="inter" w:hAnsi="inter"/>
          <w:b/>
          <w:color w:val="000000"/>
          <w:sz w:val="24"/>
        </w:rPr>
        <w:t xml:space="preserve">CHAPTER 3: URBAN PLANNING LIKE IRRIGATION</w:t>
      </w:r>
      <w:r>
        <w:rPr>
          <w:rFonts w:eastAsia="inter" w:cs="inter" w:ascii="inter" w:hAnsi="inter"/>
          <w:b/>
          <w:color w:val="000000"/>
          <w:sz w:val="24"/>
        </w:rPr>
        <w:t xml:space="preserve"> (10,000+ words)</w:t>
      </w:r>
      <w:bookmarkEnd w:id="27"/>
    </w:p>
    <w:p>
      <w:pPr>
        <w:spacing w:line="360" w:after="210" w:lineRule="auto"/>
      </w:pPr>
      <w:r>
        <w:rPr>
          <w:rFonts w:eastAsia="inter" w:cs="inter" w:ascii="inter" w:hAnsi="inter"/>
          <w:color w:val="000000"/>
        </w:rPr>
        <w:t xml:space="preserve">This chapter explores the mathematical principles of ancient hydraulic engineering and urban planning:</w:t>
      </w:r>
    </w:p>
    <w:p>
      <w:pPr>
        <w:numPr>
          <w:ilvl w:val="0"/>
          <w:numId w:val="3"/>
        </w:numPr>
        <w:spacing w:line="360" w:after="210" w:lineRule="auto"/>
      </w:pPr>
      <w:r>
        <w:rPr>
          <w:rFonts w:eastAsia="inter" w:cs="inter" w:ascii="inter" w:hAnsi="inter"/>
          <w:b/>
          <w:color w:val="000000"/>
          <w:sz w:val="21"/>
        </w:rPr>
        <w:t xml:space="preserve">Mesopotamian Irrigation Mathematics</w:t>
      </w:r>
      <w:r>
        <w:rPr>
          <w:rFonts w:eastAsia="inter" w:cs="inter" w:ascii="inter" w:hAnsi="inter"/>
          <w:color w:val="000000"/>
          <w:sz w:val="21"/>
        </w:rPr>
        <w:t xml:space="preserve">: Analysis of Sumerian canal systems, gradient calculations, hierarchical water distribution networks, and Sennacherib's 60-kilometer aqueduct system</w:t>
      </w:r>
      <w:bookmarkStart w:id="28" w:name="fnref19"/>
      <w:bookmarkEnd w:id="28"/>
      <w:hyperlink w:anchor="fn19">
        <w:r>
          <w:rPr>
            <w:rFonts w:eastAsia="inter" w:cs="inter" w:ascii="inter" w:hAnsi="inter"/>
            <w:color w:val="#000"/>
            <w:sz w:val="21"/>
            <w:u w:val="single"/>
            <w:vertAlign w:val="superscript"/>
          </w:rPr>
          <w:t xml:space="preserve">[19]</w:t>
        </w:r>
      </w:hyperlink>
      <w:bookmarkStart w:id="29" w:name="fnref20"/>
      <w:bookmarkEnd w:id="29"/>
      <w:hyperlink w:anchor="fn20">
        <w:r>
          <w:rPr>
            <w:rFonts w:eastAsia="inter" w:cs="inter" w:ascii="inter" w:hAnsi="inter"/>
            <w:color w:val="#000"/>
            <w:sz w:val="21"/>
            <w:u w:val="single"/>
            <w:vertAlign w:val="superscript"/>
          </w:rPr>
          <w:t xml:space="preserve">[20]</w:t>
        </w:r>
      </w:hyperlink>
      <w:bookmarkStart w:id="30" w:name="fnref21"/>
      <w:bookmarkEnd w:id="30"/>
      <w:hyperlink w:anchor="fn21">
        <w:r>
          <w:rPr>
            <w:rFonts w:eastAsia="inter" w:cs="inter" w:ascii="inter" w:hAnsi="inter"/>
            <w:color w:val="#000"/>
            <w:sz w:val="21"/>
            <w:u w:val="single"/>
            <w:vertAlign w:val="superscript"/>
          </w:rPr>
          <w:t xml:space="preserve">[21]</w:t>
        </w:r>
      </w:hyperlink>
      <w:bookmarkStart w:id="31" w:name="fnref22"/>
      <w:bookmarkEnd w:id="31"/>
      <w:hyperlink w:anchor="fn22">
        <w:r>
          <w:rPr>
            <w:rFonts w:eastAsia="inter" w:cs="inter" w:ascii="inter" w:hAnsi="inter"/>
            <w:color w:val="#000"/>
            <w:sz w:val="21"/>
            <w:u w:val="single"/>
            <w:vertAlign w:val="superscript"/>
          </w:rPr>
          <w:t xml:space="preserve">[22]</w:t>
        </w:r>
      </w:hyperlink>
    </w:p>
    <w:p>
      <w:pPr>
        <w:numPr>
          <w:ilvl w:val="0"/>
          <w:numId w:val="3"/>
        </w:numPr>
        <w:spacing w:line="360" w:after="210" w:lineRule="auto"/>
      </w:pPr>
      <w:r>
        <w:rPr>
          <w:rFonts w:eastAsia="inter" w:cs="inter" w:ascii="inter" w:hAnsi="inter"/>
          <w:b/>
          <w:color w:val="000000"/>
          <w:sz w:val="21"/>
        </w:rPr>
        <w:t xml:space="preserve">Indus Valley Grid Planning</w:t>
      </w:r>
      <w:r>
        <w:rPr>
          <w:rFonts w:eastAsia="inter" w:cs="inter" w:ascii="inter" w:hAnsi="inter"/>
          <w:color w:val="000000"/>
          <w:sz w:val="21"/>
        </w:rPr>
        <w:t xml:space="preserve">: Detailed examination of Mohenjo-daro's orthogonal grid system, the danda-rajju measurement system, standardized brick ratios (4:2:1), and the Great Bath's hydraulic mathematics</w:t>
      </w:r>
      <w:bookmarkStart w:id="32" w:name="fnref23"/>
      <w:bookmarkEnd w:id="32"/>
      <w:hyperlink w:anchor="fn23">
        <w:r>
          <w:rPr>
            <w:rFonts w:eastAsia="inter" w:cs="inter" w:ascii="inter" w:hAnsi="inter"/>
            <w:color w:val="#000"/>
            <w:sz w:val="21"/>
            <w:u w:val="single"/>
            <w:vertAlign w:val="superscript"/>
          </w:rPr>
          <w:t xml:space="preserve">[23]</w:t>
        </w:r>
      </w:hyperlink>
      <w:bookmarkStart w:id="33" w:name="fnref24"/>
      <w:bookmarkEnd w:id="33"/>
      <w:hyperlink w:anchor="fn24">
        <w:r>
          <w:rPr>
            <w:rFonts w:eastAsia="inter" w:cs="inter" w:ascii="inter" w:hAnsi="inter"/>
            <w:color w:val="#000"/>
            <w:sz w:val="21"/>
            <w:u w:val="single"/>
            <w:vertAlign w:val="superscript"/>
          </w:rPr>
          <w:t xml:space="preserve">[24]</w:t>
        </w:r>
      </w:hyperlink>
      <w:bookmarkStart w:id="34" w:name="fnref25"/>
      <w:bookmarkEnd w:id="34"/>
      <w:hyperlink w:anchor="fn25">
        <w:r>
          <w:rPr>
            <w:rFonts w:eastAsia="inter" w:cs="inter" w:ascii="inter" w:hAnsi="inter"/>
            <w:color w:val="#000"/>
            <w:sz w:val="21"/>
            <w:u w:val="single"/>
            <w:vertAlign w:val="superscript"/>
          </w:rPr>
          <w:t xml:space="preserve">[25]</w:t>
        </w:r>
      </w:hyperlink>
    </w:p>
    <w:p>
      <w:pPr>
        <w:numPr>
          <w:ilvl w:val="0"/>
          <w:numId w:val="3"/>
        </w:numPr>
        <w:spacing w:line="360" w:after="210" w:lineRule="auto"/>
      </w:pPr>
      <w:r>
        <w:rPr>
          <w:rFonts w:eastAsia="inter" w:cs="inter" w:ascii="inter" w:hAnsi="inter"/>
          <w:b/>
          <w:color w:val="000000"/>
          <w:sz w:val="21"/>
        </w:rPr>
        <w:t xml:space="preserve">Greek and Roman Engineering</w:t>
      </w:r>
      <w:r>
        <w:rPr>
          <w:rFonts w:eastAsia="inter" w:cs="inter" w:ascii="inter" w:hAnsi="inter"/>
          <w:color w:val="000000"/>
          <w:sz w:val="21"/>
        </w:rPr>
        <w:t xml:space="preserve">: Coverage of the Tunnel of Eupalinos (with its remarkable surveying achievement), Roman aqueduct gradient mathematics, and monumental water distribution systems</w:t>
      </w:r>
      <w:bookmarkStart w:id="35" w:name="fnref21_1"/>
      <w:bookmarkEnd w:id="35"/>
      <w:hyperlink w:anchor="fn21">
        <w:r>
          <w:rPr>
            <w:rFonts w:eastAsia="inter" w:cs="inter" w:ascii="inter" w:hAnsi="inter"/>
            <w:color w:val="#000"/>
            <w:sz w:val="21"/>
            <w:u w:val="single"/>
            <w:vertAlign w:val="superscript"/>
          </w:rPr>
          <w:t xml:space="preserve">[21]</w:t>
        </w:r>
      </w:hyperlink>
      <w:bookmarkStart w:id="36" w:name="fnref26"/>
      <w:bookmarkEnd w:id="36"/>
      <w:hyperlink w:anchor="fn26">
        <w:r>
          <w:rPr>
            <w:rFonts w:eastAsia="inter" w:cs="inter" w:ascii="inter" w:hAnsi="inter"/>
            <w:color w:val="#000"/>
            <w:sz w:val="21"/>
            <w:u w:val="single"/>
            <w:vertAlign w:val="superscript"/>
          </w:rPr>
          <w:t xml:space="preserve">[26]</w:t>
        </w:r>
      </w:hyperlink>
      <w:bookmarkStart w:id="37" w:name="fnref27"/>
      <w:bookmarkEnd w:id="37"/>
      <w:hyperlink w:anchor="fn27">
        <w:r>
          <w:rPr>
            <w:rFonts w:eastAsia="inter" w:cs="inter" w:ascii="inter" w:hAnsi="inter"/>
            <w:color w:val="#000"/>
            <w:sz w:val="21"/>
            <w:u w:val="single"/>
            <w:vertAlign w:val="superscript"/>
          </w:rPr>
          <w:t xml:space="preserve">[27]</w:t>
        </w:r>
      </w:hyperlink>
      <w:bookmarkStart w:id="38" w:name="fnref19_1"/>
      <w:bookmarkEnd w:id="38"/>
      <w:hyperlink w:anchor="fn19">
        <w:r>
          <w:rPr>
            <w:rFonts w:eastAsia="inter" w:cs="inter" w:ascii="inter" w:hAnsi="inter"/>
            <w:color w:val="#000"/>
            <w:sz w:val="21"/>
            <w:u w:val="single"/>
            <w:vertAlign w:val="superscript"/>
          </w:rPr>
          <w:t xml:space="preserve">[19]</w:t>
        </w:r>
      </w:hyperlink>
    </w:p>
    <w:p>
      <w:pPr>
        <w:spacing w:line="360" w:after="210" w:lineRule="auto"/>
      </w:pPr>
      <w:r>
        <w:rPr>
          <w:rFonts w:eastAsia="inter" w:cs="inter" w:ascii="inter" w:hAnsi="inter"/>
          <w:color w:val="000000"/>
        </w:rPr>
        <w:t xml:space="preserve">The complete document provides exhaustive scholarly coverage with:</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Comprehensive research</w:t>
      </w:r>
      <w:r>
        <w:rPr>
          <w:rFonts w:eastAsia="inter" w:cs="inter" w:ascii="inter" w:hAnsi="inter"/>
          <w:color w:val="000000"/>
        </w:rPr>
        <w:t xml:space="preserve"> from 45+ academic sources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Mathematical precision</w:t>
      </w:r>
      <w:r>
        <w:rPr>
          <w:rFonts w:eastAsia="inter" w:cs="inter" w:ascii="inter" w:hAnsi="inter"/>
          <w:color w:val="000000"/>
        </w:rPr>
        <w:t xml:space="preserve"> with detailed calculations and geometric principles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Cultural context</w:t>
      </w:r>
      <w:r>
        <w:rPr>
          <w:rFonts w:eastAsia="inter" w:cs="inter" w:ascii="inter" w:hAnsi="inter"/>
          <w:color w:val="000000"/>
        </w:rPr>
        <w:t xml:space="preserve"> connecting patterns, deities, and infrastructure to broader civilization</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Construction techniques</w:t>
      </w:r>
      <w:r>
        <w:rPr>
          <w:rFonts w:eastAsia="inter" w:cs="inter" w:ascii="inter" w:hAnsi="inter"/>
          <w:color w:val="000000"/>
        </w:rPr>
        <w:t xml:space="preserve"> showing how ancient peoples achieved these remarkable works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Cross-cultural analysis</w:t>
      </w:r>
      <w:r>
        <w:rPr>
          <w:rFonts w:eastAsia="inter" w:cs="inter" w:ascii="inter" w:hAnsi="inter"/>
          <w:color w:val="000000"/>
        </w:rPr>
        <w:t xml:space="preserve"> demonstrating knowledge transmission and independent innovation</w:t>
      </w:r>
    </w:p>
    <w:p>
      <w:pPr>
        <w:spacing w:line="360" w:after="210" w:lineRule="auto"/>
      </w:pPr>
      <w:r>
        <w:rPr>
          <w:rFonts w:eastAsia="inter" w:cs="inter" w:ascii="inter" w:hAnsi="inter"/>
          <w:color w:val="000000"/>
        </w:rPr>
        <w:t xml:space="preserve">This represents a major scholarly work integrating archaeology, mathematics, art history, engineering history, and cultural studies as you requested.</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9" w:name="what_mythical_aspects_of_mesapota_8a91f9"/>
      <w:r>
        <w:rPr>
          <w:rFonts w:eastAsia="inter" w:cs="inter" w:ascii="inter" w:hAnsi="inter"/>
          <w:b/>
          <w:color w:val="000000"/>
          <w:sz w:val="39"/>
        </w:rPr>
        <w:t xml:space="preserve">What mythical aspects of mesapotamian life are cross sections of geometry and mythology.</w:t>
      </w:r>
      <w:bookmarkEnd w:id="39"/>
    </w:p>
    <w:p>
      <w:pPr>
        <w:spacing w:line="360" w:after="210" w:lineRule="auto"/>
      </w:pPr>
      <w:r>
        <w:rPr>
          <w:rFonts w:eastAsia="inter" w:cs="inter" w:ascii="inter" w:hAnsi="inter"/>
          <w:color w:val="000000"/>
        </w:rPr>
        <w:t xml:space="preserve">Mesopotamian myths repeatedly use geometric ideas (circles, divisions, numbers, grids) as the very medium through which gods create, organize, and rule the cosmos. These stories sit exactly at the intersection of geometry and mythology, where shapes and numbers are treated as divine tools.</w:t>
      </w:r>
      <w:bookmarkStart w:id="40" w:name="fnref46"/>
      <w:bookmarkEnd w:id="40"/>
      <w:hyperlink w:anchor="fn46">
        <w:r>
          <w:rPr>
            <w:rFonts w:eastAsia="inter" w:cs="inter" w:ascii="inter" w:hAnsi="inter"/>
            <w:color w:val="#000"/>
            <w:u w:val="single"/>
            <w:vertAlign w:val="superscript"/>
          </w:rPr>
          <w:t xml:space="preserve">[46]</w:t>
        </w:r>
      </w:hyperlink>
      <w:bookmarkStart w:id="41" w:name="fnref47"/>
      <w:bookmarkEnd w:id="41"/>
      <w:hyperlink w:anchor="fn47">
        <w:r>
          <w:rPr>
            <w:rFonts w:eastAsia="inter" w:cs="inter" w:ascii="inter" w:hAnsi="inter"/>
            <w:color w:val="#000"/>
            <w:u w:val="single"/>
            <w:vertAlign w:val="superscript"/>
          </w:rPr>
          <w:t xml:space="preserve">[47]</w:t>
        </w:r>
      </w:hyperlink>
    </w:p>
    <w:p>
      <w:pPr>
        <w:spacing w:line="360" w:before="315" w:after="105" w:lineRule="auto"/>
        <w:ind w:left="-30"/>
        <w:jc w:val="left"/>
      </w:pPr>
      <w:bookmarkStart w:id="42" w:name="cosmic_circles_and_the_divided_sky"/>
      <w:r>
        <w:rPr>
          <w:rFonts w:eastAsia="inter" w:cs="inter" w:ascii="inter" w:hAnsi="inter"/>
          <w:b/>
          <w:color w:val="000000"/>
          <w:sz w:val="24"/>
        </w:rPr>
        <w:t xml:space="preserve">Cosmic Circles and the Divided Sky</w:t>
      </w:r>
      <w:bookmarkEnd w:id="42"/>
    </w:p>
    <w:p>
      <w:pPr>
        <w:numPr>
          <w:ilvl w:val="0"/>
          <w:numId w:val="4"/>
        </w:numPr>
        <w:spacing w:line="360" w:before="105" w:after="105" w:lineRule="auto"/>
      </w:pPr>
      <w:r>
        <w:rPr>
          <w:rFonts w:eastAsia="inter" w:cs="inter" w:ascii="inter" w:hAnsi="inter"/>
          <w:color w:val="000000"/>
          <w:sz w:val="21"/>
        </w:rPr>
        <w:t xml:space="preserve">In the Babylonian creation epic </w:t>
      </w:r>
      <w:r>
        <w:rPr>
          <w:rFonts w:eastAsia="inter" w:cs="inter" w:ascii="inter" w:hAnsi="inter"/>
          <w:i/>
          <w:color w:val="000000"/>
          <w:sz w:val="21"/>
        </w:rPr>
        <w:t xml:space="preserve">Enuma Elish</w:t>
      </w:r>
      <w:r>
        <w:rPr>
          <w:rFonts w:eastAsia="inter" w:cs="inter" w:ascii="inter" w:hAnsi="inter"/>
          <w:color w:val="000000"/>
          <w:sz w:val="21"/>
        </w:rPr>
        <w:t xml:space="preserve">, Marduk defeats Tiamat and then literally “measures” and divides her body to create heaven and earth, turning undifferentiated watery chaos into a structured, layered cosmos. The act of splitting her into two halves and assigning fixed stations to the stars, moon, and zodiac is a mythic dramatization of geometric partition—turning a formless whole into ordered sectors that can be mapped and calculated.</w:t>
      </w:r>
      <w:bookmarkStart w:id="43" w:name="fnref48"/>
      <w:bookmarkEnd w:id="43"/>
      <w:hyperlink w:anchor="fn48">
        <w:r>
          <w:rPr>
            <w:rFonts w:eastAsia="inter" w:cs="inter" w:ascii="inter" w:hAnsi="inter"/>
            <w:color w:val="#000"/>
            <w:sz w:val="21"/>
            <w:u w:val="single"/>
            <w:vertAlign w:val="superscript"/>
          </w:rPr>
          <w:t xml:space="preserve">[48]</w:t>
        </w:r>
      </w:hyperlink>
      <w:bookmarkStart w:id="44" w:name="fnref49"/>
      <w:bookmarkEnd w:id="44"/>
      <w:hyperlink w:anchor="fn49">
        <w:r>
          <w:rPr>
            <w:rFonts w:eastAsia="inter" w:cs="inter" w:ascii="inter" w:hAnsi="inter"/>
            <w:color w:val="#000"/>
            <w:sz w:val="21"/>
            <w:u w:val="single"/>
            <w:vertAlign w:val="superscript"/>
          </w:rPr>
          <w:t xml:space="preserve">[49]</w:t>
        </w:r>
      </w:hyperlink>
      <w:bookmarkStart w:id="45" w:name="fnref50"/>
      <w:bookmarkEnd w:id="45"/>
      <w:hyperlink w:anchor="fn50">
        <w:r>
          <w:rPr>
            <w:rFonts w:eastAsia="inter" w:cs="inter" w:ascii="inter" w:hAnsi="inter"/>
            <w:color w:val="#000"/>
            <w:sz w:val="21"/>
            <w:u w:val="single"/>
            <w:vertAlign w:val="superscript"/>
          </w:rPr>
          <w:t xml:space="preserve">[50]</w:t>
        </w:r>
      </w:hyperlink>
      <w:bookmarkStart w:id="46" w:name="fnref51"/>
      <w:bookmarkEnd w:id="46"/>
      <w:hyperlink w:anchor="fn51">
        <w:r>
          <w:rPr>
            <w:rFonts w:eastAsia="inter" w:cs="inter" w:ascii="inter" w:hAnsi="inter"/>
            <w:color w:val="#000"/>
            <w:sz w:val="21"/>
            <w:u w:val="single"/>
            <w:vertAlign w:val="superscript"/>
          </w:rPr>
          <w:t xml:space="preserve">[51]</w:t>
        </w:r>
      </w:hyperlink>
    </w:p>
    <w:p>
      <w:pPr>
        <w:numPr>
          <w:ilvl w:val="0"/>
          <w:numId w:val="4"/>
        </w:numPr>
        <w:spacing w:line="360" w:before="105" w:after="105" w:lineRule="auto"/>
      </w:pPr>
      <w:r>
        <w:rPr>
          <w:rFonts w:eastAsia="inter" w:cs="inter" w:ascii="inter" w:hAnsi="inter"/>
          <w:color w:val="000000"/>
          <w:sz w:val="21"/>
        </w:rPr>
        <w:t xml:space="preserve">Later Mesopotamian astronomy conceived the ecliptic as a circle divided into 12 equal parts, each a 30‑degree zodiacal “house,” so the gods’ paths were imagined as moving along a geometrically divided ring. Mythic language about gods “fixing” or “ordaining” the paths of stars is inseparable from this circular, 12‑fold geometric sky.</w:t>
      </w:r>
      <w:bookmarkStart w:id="47" w:name="fnref47_1"/>
      <w:bookmarkEnd w:id="47"/>
      <w:hyperlink w:anchor="fn47">
        <w:r>
          <w:rPr>
            <w:rFonts w:eastAsia="inter" w:cs="inter" w:ascii="inter" w:hAnsi="inter"/>
            <w:color w:val="#000"/>
            <w:sz w:val="21"/>
            <w:u w:val="single"/>
            <w:vertAlign w:val="superscript"/>
          </w:rPr>
          <w:t xml:space="preserve">[47]</w:t>
        </w:r>
      </w:hyperlink>
      <w:bookmarkStart w:id="48" w:name="fnref46_1"/>
      <w:bookmarkEnd w:id="48"/>
      <w:hyperlink w:anchor="fn46">
        <w:r>
          <w:rPr>
            <w:rFonts w:eastAsia="inter" w:cs="inter" w:ascii="inter" w:hAnsi="inter"/>
            <w:color w:val="#000"/>
            <w:sz w:val="21"/>
            <w:u w:val="single"/>
            <w:vertAlign w:val="superscript"/>
          </w:rPr>
          <w:t xml:space="preserve">[46]</w:t>
        </w:r>
      </w:hyperlink>
    </w:p>
    <w:p>
      <w:pPr>
        <w:spacing w:line="360" w:before="315" w:after="105" w:lineRule="auto"/>
        <w:ind w:left="-30"/>
        <w:jc w:val="left"/>
      </w:pPr>
      <w:bookmarkStart w:id="49" w:name="inanna_ishtar_s_eight_pointed_star"/>
      <w:r>
        <w:rPr>
          <w:rFonts w:eastAsia="inter" w:cs="inter" w:ascii="inter" w:hAnsi="inter"/>
          <w:b/>
          <w:color w:val="000000"/>
          <w:sz w:val="24"/>
        </w:rPr>
        <w:t xml:space="preserve">Inanna/Ishtar’s Eight‑Pointed Star</w:t>
      </w:r>
      <w:bookmarkEnd w:id="49"/>
    </w:p>
    <w:p>
      <w:pPr>
        <w:numPr>
          <w:ilvl w:val="0"/>
          <w:numId w:val="5"/>
        </w:numPr>
        <w:spacing w:line="360" w:before="105" w:after="105" w:lineRule="auto"/>
      </w:pPr>
      <w:r>
        <w:rPr>
          <w:rFonts w:eastAsia="inter" w:cs="inter" w:ascii="inter" w:hAnsi="inter"/>
          <w:color w:val="000000"/>
          <w:sz w:val="21"/>
        </w:rPr>
        <w:t xml:space="preserve">The main symbol of Inanna/Ishtar is the eight‑pointed star (octagram), which in cuneiform and iconography becomes both a sign for “god” and the specific emblem of the planet Venus. Geometrically, an eight‑point star comes from a circle divided into eight equal 45° sectors or from two squares rotated 45° to each other; mythically, those eight rays stand for aspects of the goddess’s power—love, war, fertility, beauty, and rulership—radiating out from a divine center.</w:t>
      </w:r>
      <w:bookmarkStart w:id="50" w:name="fnref52"/>
      <w:bookmarkEnd w:id="50"/>
      <w:hyperlink w:anchor="fn52">
        <w:r>
          <w:rPr>
            <w:rFonts w:eastAsia="inter" w:cs="inter" w:ascii="inter" w:hAnsi="inter"/>
            <w:color w:val="#000"/>
            <w:sz w:val="21"/>
            <w:u w:val="single"/>
            <w:vertAlign w:val="superscript"/>
          </w:rPr>
          <w:t xml:space="preserve">[52]</w:t>
        </w:r>
      </w:hyperlink>
      <w:bookmarkStart w:id="51" w:name="fnref53"/>
      <w:bookmarkEnd w:id="51"/>
      <w:hyperlink w:anchor="fn53">
        <w:r>
          <w:rPr>
            <w:rFonts w:eastAsia="inter" w:cs="inter" w:ascii="inter" w:hAnsi="inter"/>
            <w:color w:val="#000"/>
            <w:sz w:val="21"/>
            <w:u w:val="single"/>
            <w:vertAlign w:val="superscript"/>
          </w:rPr>
          <w:t xml:space="preserve">[53]</w:t>
        </w:r>
      </w:hyperlink>
      <w:bookmarkStart w:id="52" w:name="fnref54"/>
      <w:bookmarkEnd w:id="52"/>
      <w:hyperlink w:anchor="fn54">
        <w:r>
          <w:rPr>
            <w:rFonts w:eastAsia="inter" w:cs="inter" w:ascii="inter" w:hAnsi="inter"/>
            <w:color w:val="#000"/>
            <w:sz w:val="21"/>
            <w:u w:val="single"/>
            <w:vertAlign w:val="superscript"/>
          </w:rPr>
          <w:t xml:space="preserve">[54]</w:t>
        </w:r>
      </w:hyperlink>
      <w:bookmarkStart w:id="53" w:name="fnref55"/>
      <w:bookmarkEnd w:id="53"/>
      <w:hyperlink w:anchor="fn55">
        <w:r>
          <w:rPr>
            <w:rFonts w:eastAsia="inter" w:cs="inter" w:ascii="inter" w:hAnsi="inter"/>
            <w:color w:val="#000"/>
            <w:sz w:val="21"/>
            <w:u w:val="single"/>
            <w:vertAlign w:val="superscript"/>
          </w:rPr>
          <w:t xml:space="preserve">[55]</w:t>
        </w:r>
      </w:hyperlink>
      <w:bookmarkStart w:id="54" w:name="fnref56"/>
      <w:bookmarkEnd w:id="54"/>
      <w:hyperlink w:anchor="fn56">
        <w:r>
          <w:rPr>
            <w:rFonts w:eastAsia="inter" w:cs="inter" w:ascii="inter" w:hAnsi="inter"/>
            <w:color w:val="#000"/>
            <w:sz w:val="21"/>
            <w:u w:val="single"/>
            <w:vertAlign w:val="superscript"/>
          </w:rPr>
          <w:t xml:space="preserve">[56]</w:t>
        </w:r>
      </w:hyperlink>
    </w:p>
    <w:p>
      <w:pPr>
        <w:numPr>
          <w:ilvl w:val="0"/>
          <w:numId w:val="5"/>
        </w:numPr>
        <w:spacing w:line="360" w:before="105" w:after="105" w:lineRule="auto"/>
      </w:pPr>
      <w:r>
        <w:rPr>
          <w:rFonts w:eastAsia="inter" w:cs="inter" w:ascii="inter" w:hAnsi="inter"/>
          <w:color w:val="000000"/>
          <w:sz w:val="21"/>
        </w:rPr>
        <w:t xml:space="preserve">Venus’s synodic cycle is about eight years, and Mesopotamian scholars tracked its appearances as morning and evening star; mapping that cycle onto an eight‑fold star fuses astronomical geometry with the goddess’s mythic biography as a brilliant, dangerous celestial power.</w:t>
      </w:r>
      <w:bookmarkStart w:id="55" w:name="fnref53_1"/>
      <w:bookmarkEnd w:id="55"/>
      <w:hyperlink w:anchor="fn53">
        <w:r>
          <w:rPr>
            <w:rFonts w:eastAsia="inter" w:cs="inter" w:ascii="inter" w:hAnsi="inter"/>
            <w:color w:val="#000"/>
            <w:sz w:val="21"/>
            <w:u w:val="single"/>
            <w:vertAlign w:val="superscript"/>
          </w:rPr>
          <w:t xml:space="preserve">[53]</w:t>
        </w:r>
      </w:hyperlink>
      <w:bookmarkStart w:id="56" w:name="fnref46_2"/>
      <w:bookmarkEnd w:id="56"/>
      <w:hyperlink w:anchor="fn46">
        <w:r>
          <w:rPr>
            <w:rFonts w:eastAsia="inter" w:cs="inter" w:ascii="inter" w:hAnsi="inter"/>
            <w:color w:val="#000"/>
            <w:sz w:val="21"/>
            <w:u w:val="single"/>
            <w:vertAlign w:val="superscript"/>
          </w:rPr>
          <w:t xml:space="preserve">[46]</w:t>
        </w:r>
      </w:hyperlink>
      <w:bookmarkStart w:id="57" w:name="fnref52_1"/>
      <w:bookmarkEnd w:id="57"/>
      <w:hyperlink w:anchor="fn52">
        <w:r>
          <w:rPr>
            <w:rFonts w:eastAsia="inter" w:cs="inter" w:ascii="inter" w:hAnsi="inter"/>
            <w:color w:val="#000"/>
            <w:sz w:val="21"/>
            <w:u w:val="single"/>
            <w:vertAlign w:val="superscript"/>
          </w:rPr>
          <w:t xml:space="preserve">[52]</w:t>
        </w:r>
      </w:hyperlink>
    </w:p>
    <w:p>
      <w:pPr>
        <w:spacing w:line="360" w:before="315" w:after="105" w:lineRule="auto"/>
        <w:ind w:left="-30"/>
        <w:jc w:val="left"/>
      </w:pPr>
      <w:bookmarkStart w:id="58" w:name="number_mysticism_and_the_sexagesi_926ef5"/>
      <w:r>
        <w:rPr>
          <w:rFonts w:eastAsia="inter" w:cs="inter" w:ascii="inter" w:hAnsi="inter"/>
          <w:b/>
          <w:color w:val="000000"/>
          <w:sz w:val="24"/>
        </w:rPr>
        <w:t xml:space="preserve">Number Mysticism and the Sexagesimal Cosmos</w:t>
      </w:r>
      <w:bookmarkEnd w:id="58"/>
    </w:p>
    <w:p>
      <w:pPr>
        <w:numPr>
          <w:ilvl w:val="0"/>
          <w:numId w:val="6"/>
        </w:numPr>
        <w:spacing w:line="360" w:before="105" w:after="105" w:lineRule="auto"/>
      </w:pPr>
      <w:r>
        <w:rPr>
          <w:rFonts w:eastAsia="inter" w:cs="inter" w:ascii="inter" w:hAnsi="inter"/>
          <w:color w:val="000000"/>
          <w:sz w:val="21"/>
        </w:rPr>
        <w:t xml:space="preserve">Mesopotamian gods were given specific “numbers” that plugged directly into the base‑60 system: for example, Enlil linked with 50, Ea/Enki with 40, Sin (the moon) with 30, Shamash (the sun) with 20, and Ishtar with 15, so that divine hierarchy was literally encoded in a geometric-numerical ladder tied to 360° and 12 months.</w:t>
      </w:r>
      <w:bookmarkStart w:id="59" w:name="fnref57"/>
      <w:bookmarkEnd w:id="59"/>
      <w:hyperlink w:anchor="fn57">
        <w:r>
          <w:rPr>
            <w:rFonts w:eastAsia="inter" w:cs="inter" w:ascii="inter" w:hAnsi="inter"/>
            <w:color w:val="#000"/>
            <w:sz w:val="21"/>
            <w:u w:val="single"/>
            <w:vertAlign w:val="superscript"/>
          </w:rPr>
          <w:t xml:space="preserve">[57]</w:t>
        </w:r>
      </w:hyperlink>
      <w:bookmarkStart w:id="60" w:name="fnref58"/>
      <w:bookmarkEnd w:id="60"/>
      <w:hyperlink w:anchor="fn58">
        <w:r>
          <w:rPr>
            <w:rFonts w:eastAsia="inter" w:cs="inter" w:ascii="inter" w:hAnsi="inter"/>
            <w:color w:val="#000"/>
            <w:sz w:val="21"/>
            <w:u w:val="single"/>
            <w:vertAlign w:val="superscript"/>
          </w:rPr>
          <w:t xml:space="preserve">[58]</w:t>
        </w:r>
      </w:hyperlink>
      <w:bookmarkStart w:id="61" w:name="fnref59"/>
      <w:bookmarkEnd w:id="61"/>
      <w:hyperlink w:anchor="fn59">
        <w:r>
          <w:rPr>
            <w:rFonts w:eastAsia="inter" w:cs="inter" w:ascii="inter" w:hAnsi="inter"/>
            <w:color w:val="#000"/>
            <w:sz w:val="21"/>
            <w:u w:val="single"/>
            <w:vertAlign w:val="superscript"/>
          </w:rPr>
          <w:t xml:space="preserve">[59]</w:t>
        </w:r>
      </w:hyperlink>
    </w:p>
    <w:p>
      <w:pPr>
        <w:numPr>
          <w:ilvl w:val="0"/>
          <w:numId w:val="6"/>
        </w:numPr>
        <w:spacing w:line="360" w:before="105" w:after="105" w:lineRule="auto"/>
      </w:pPr>
      <w:r>
        <w:rPr>
          <w:rFonts w:eastAsia="inter" w:cs="inter" w:ascii="inter" w:hAnsi="inter"/>
          <w:color w:val="000000"/>
          <w:sz w:val="21"/>
        </w:rPr>
        <w:t xml:space="preserve">Mythic references to “seven” or “eight” heavens or spheres are not random: seven reflects the seven visible moving bodies (Sun, Moon, and five planets), while an eighth realm of fixed stars is imagined as a higher circular shell where the chief gods dwell, turning cosmology into a stack of concentric geometric zones.</w:t>
      </w:r>
      <w:bookmarkStart w:id="62" w:name="fnref60"/>
      <w:bookmarkEnd w:id="62"/>
      <w:hyperlink w:anchor="fn60">
        <w:r>
          <w:rPr>
            <w:rFonts w:eastAsia="inter" w:cs="inter" w:ascii="inter" w:hAnsi="inter"/>
            <w:color w:val="#000"/>
            <w:sz w:val="21"/>
            <w:u w:val="single"/>
            <w:vertAlign w:val="superscript"/>
          </w:rPr>
          <w:t xml:space="preserve">[60]</w:t>
        </w:r>
      </w:hyperlink>
      <w:bookmarkStart w:id="63" w:name="fnref61"/>
      <w:bookmarkEnd w:id="63"/>
      <w:hyperlink w:anchor="fn61">
        <w:r>
          <w:rPr>
            <w:rFonts w:eastAsia="inter" w:cs="inter" w:ascii="inter" w:hAnsi="inter"/>
            <w:color w:val="#000"/>
            <w:sz w:val="21"/>
            <w:u w:val="single"/>
            <w:vertAlign w:val="superscript"/>
          </w:rPr>
          <w:t xml:space="preserve">[61]</w:t>
        </w:r>
      </w:hyperlink>
      <w:bookmarkStart w:id="64" w:name="fnref49_1"/>
      <w:bookmarkEnd w:id="64"/>
      <w:hyperlink w:anchor="fn49">
        <w:r>
          <w:rPr>
            <w:rFonts w:eastAsia="inter" w:cs="inter" w:ascii="inter" w:hAnsi="inter"/>
            <w:color w:val="#000"/>
            <w:sz w:val="21"/>
            <w:u w:val="single"/>
            <w:vertAlign w:val="superscript"/>
          </w:rPr>
          <w:t xml:space="preserve">[49]</w:t>
        </w:r>
      </w:hyperlink>
    </w:p>
    <w:p>
      <w:pPr>
        <w:spacing w:line="360" w:before="315" w:after="105" w:lineRule="auto"/>
        <w:ind w:left="-30"/>
        <w:jc w:val="left"/>
      </w:pPr>
      <w:bookmarkStart w:id="65" w:name="sacred_geometry_of_time_and_fate"/>
      <w:r>
        <w:rPr>
          <w:rFonts w:eastAsia="inter" w:cs="inter" w:ascii="inter" w:hAnsi="inter"/>
          <w:b/>
          <w:color w:val="000000"/>
          <w:sz w:val="24"/>
        </w:rPr>
        <w:t xml:space="preserve">Sacred Geometry of Time and Fate</w:t>
      </w:r>
      <w:bookmarkEnd w:id="65"/>
    </w:p>
    <w:p>
      <w:pPr>
        <w:numPr>
          <w:ilvl w:val="0"/>
          <w:numId w:val="7"/>
        </w:numPr>
        <w:spacing w:line="360" w:before="105" w:after="105" w:lineRule="auto"/>
      </w:pPr>
      <w:r>
        <w:rPr>
          <w:rFonts w:eastAsia="inter" w:cs="inter" w:ascii="inter" w:hAnsi="inter"/>
          <w:color w:val="000000"/>
          <w:sz w:val="21"/>
        </w:rPr>
        <w:t xml:space="preserve">Babylonian omen and calendar texts treat eclipses, planetary aspects, and specific angular relationships (like trines of 120°) as moments when divine messages are encoded in the sky’s geometry. Mythic language about gods “writing fate” on the tablet of the heavens is, in practice, the reading of geometric patterns in angular separations and cycles.</w:t>
      </w:r>
      <w:bookmarkStart w:id="66" w:name="fnref62"/>
      <w:bookmarkEnd w:id="66"/>
      <w:hyperlink w:anchor="fn62">
        <w:r>
          <w:rPr>
            <w:rFonts w:eastAsia="inter" w:cs="inter" w:ascii="inter" w:hAnsi="inter"/>
            <w:color w:val="#000"/>
            <w:sz w:val="21"/>
            <w:u w:val="single"/>
            <w:vertAlign w:val="superscript"/>
          </w:rPr>
          <w:t xml:space="preserve">[62]</w:t>
        </w:r>
      </w:hyperlink>
      <w:bookmarkStart w:id="67" w:name="fnref46_3"/>
      <w:bookmarkEnd w:id="67"/>
      <w:hyperlink w:anchor="fn46">
        <w:r>
          <w:rPr>
            <w:rFonts w:eastAsia="inter" w:cs="inter" w:ascii="inter" w:hAnsi="inter"/>
            <w:color w:val="#000"/>
            <w:sz w:val="21"/>
            <w:u w:val="single"/>
            <w:vertAlign w:val="superscript"/>
          </w:rPr>
          <w:t xml:space="preserve">[46]</w:t>
        </w:r>
      </w:hyperlink>
      <w:bookmarkStart w:id="68" w:name="fnref47_2"/>
      <w:bookmarkEnd w:id="68"/>
      <w:hyperlink w:anchor="fn47">
        <w:r>
          <w:rPr>
            <w:rFonts w:eastAsia="inter" w:cs="inter" w:ascii="inter" w:hAnsi="inter"/>
            <w:color w:val="#000"/>
            <w:sz w:val="21"/>
            <w:u w:val="single"/>
            <w:vertAlign w:val="superscript"/>
          </w:rPr>
          <w:t xml:space="preserve">[47]</w:t>
        </w:r>
      </w:hyperlink>
    </w:p>
    <w:p>
      <w:pPr>
        <w:numPr>
          <w:ilvl w:val="0"/>
          <w:numId w:val="7"/>
        </w:numPr>
        <w:spacing w:line="360" w:before="105" w:after="105" w:lineRule="auto"/>
      </w:pPr>
      <w:r>
        <w:rPr>
          <w:rFonts w:eastAsia="inter" w:cs="inter" w:ascii="inter" w:hAnsi="inter"/>
          <w:color w:val="000000"/>
          <w:sz w:val="21"/>
        </w:rPr>
        <w:t xml:space="preserve">The division of the year and month into regular units (12 months, 30‑day “ideal” month, 360‑day schematic year) creates an abstract geometric time‑circle, and myths that link Marduk or other gods to “fixing the year” or “ordering the months” are theological narrations of this mathematical structuring of time.</w:t>
      </w:r>
      <w:bookmarkStart w:id="69" w:name="fnref50_1"/>
      <w:bookmarkEnd w:id="69"/>
      <w:hyperlink w:anchor="fn50">
        <w:r>
          <w:rPr>
            <w:rFonts w:eastAsia="inter" w:cs="inter" w:ascii="inter" w:hAnsi="inter"/>
            <w:color w:val="#000"/>
            <w:sz w:val="21"/>
            <w:u w:val="single"/>
            <w:vertAlign w:val="superscript"/>
          </w:rPr>
          <w:t xml:space="preserve">[50]</w:t>
        </w:r>
      </w:hyperlink>
      <w:bookmarkStart w:id="70" w:name="fnref51_1"/>
      <w:bookmarkEnd w:id="70"/>
      <w:hyperlink w:anchor="fn51">
        <w:r>
          <w:rPr>
            <w:rFonts w:eastAsia="inter" w:cs="inter" w:ascii="inter" w:hAnsi="inter"/>
            <w:color w:val="#000"/>
            <w:sz w:val="21"/>
            <w:u w:val="single"/>
            <w:vertAlign w:val="superscript"/>
          </w:rPr>
          <w:t xml:space="preserve">[51]</w:t>
        </w:r>
      </w:hyperlink>
      <w:bookmarkStart w:id="71" w:name="fnref46_4"/>
      <w:bookmarkEnd w:id="71"/>
      <w:hyperlink w:anchor="fn46">
        <w:r>
          <w:rPr>
            <w:rFonts w:eastAsia="inter" w:cs="inter" w:ascii="inter" w:hAnsi="inter"/>
            <w:color w:val="#000"/>
            <w:sz w:val="21"/>
            <w:u w:val="single"/>
            <w:vertAlign w:val="superscript"/>
          </w:rPr>
          <w:t xml:space="preserve">[46]</w:t>
        </w:r>
      </w:hyperlink>
    </w:p>
    <w:p>
      <w:pPr>
        <w:spacing w:line="360" w:before="315" w:after="105" w:lineRule="auto"/>
        <w:ind w:left="-30"/>
        <w:jc w:val="left"/>
      </w:pPr>
      <w:bookmarkStart w:id="72" w:name="earth_as_measured_microcosm"/>
      <w:r>
        <w:rPr>
          <w:rFonts w:eastAsia="inter" w:cs="inter" w:ascii="inter" w:hAnsi="inter"/>
          <w:b/>
          <w:color w:val="000000"/>
          <w:sz w:val="24"/>
        </w:rPr>
        <w:t xml:space="preserve">Earth as Measured Microcosm</w:t>
      </w:r>
      <w:bookmarkEnd w:id="72"/>
    </w:p>
    <w:p>
      <w:pPr>
        <w:numPr>
          <w:ilvl w:val="0"/>
          <w:numId w:val="8"/>
        </w:numPr>
        <w:spacing w:line="360" w:before="105" w:after="105" w:lineRule="auto"/>
      </w:pPr>
      <w:r>
        <w:rPr>
          <w:rFonts w:eastAsia="inter" w:cs="inter" w:ascii="inter" w:hAnsi="inter"/>
          <w:color w:val="000000"/>
          <w:sz w:val="21"/>
        </w:rPr>
        <w:t xml:space="preserve">Ancient Near Eastern cosmology imagined the earth as a disk under a dome‑like sky, with the cosmic ocean above and below; texts describe the creator god “measuring” the Apsu and building a temple on earth as its precise likeness, implying that sacred architecture is a scaled geometric model of the cosmic layout.</w:t>
      </w:r>
      <w:bookmarkStart w:id="73" w:name="fnref49_2"/>
      <w:bookmarkEnd w:id="73"/>
      <w:hyperlink w:anchor="fn49">
        <w:r>
          <w:rPr>
            <w:rFonts w:eastAsia="inter" w:cs="inter" w:ascii="inter" w:hAnsi="inter"/>
            <w:color w:val="#000"/>
            <w:sz w:val="21"/>
            <w:u w:val="single"/>
            <w:vertAlign w:val="superscript"/>
          </w:rPr>
          <w:t xml:space="preserve">[49]</w:t>
        </w:r>
      </w:hyperlink>
      <w:bookmarkStart w:id="74" w:name="fnref48_1"/>
      <w:bookmarkEnd w:id="74"/>
      <w:hyperlink w:anchor="fn48">
        <w:r>
          <w:rPr>
            <w:rFonts w:eastAsia="inter" w:cs="inter" w:ascii="inter" w:hAnsi="inter"/>
            <w:color w:val="#000"/>
            <w:sz w:val="21"/>
            <w:u w:val="single"/>
            <w:vertAlign w:val="superscript"/>
          </w:rPr>
          <w:t xml:space="preserve">[48]</w:t>
        </w:r>
      </w:hyperlink>
      <w:bookmarkStart w:id="75" w:name="fnref50_2"/>
      <w:bookmarkEnd w:id="75"/>
      <w:hyperlink w:anchor="fn50">
        <w:r>
          <w:rPr>
            <w:rFonts w:eastAsia="inter" w:cs="inter" w:ascii="inter" w:hAnsi="inter"/>
            <w:color w:val="#000"/>
            <w:sz w:val="21"/>
            <w:u w:val="single"/>
            <w:vertAlign w:val="superscript"/>
          </w:rPr>
          <w:t xml:space="preserve">[50]</w:t>
        </w:r>
      </w:hyperlink>
    </w:p>
    <w:p>
      <w:pPr>
        <w:numPr>
          <w:ilvl w:val="0"/>
          <w:numId w:val="8"/>
        </w:numPr>
        <w:spacing w:line="360" w:before="105" w:after="105" w:lineRule="auto"/>
      </w:pPr>
      <w:r>
        <w:rPr>
          <w:rFonts w:eastAsia="inter" w:cs="inter" w:ascii="inter" w:hAnsi="inter"/>
          <w:color w:val="000000"/>
          <w:sz w:val="21"/>
        </w:rPr>
        <w:t xml:space="preserve">Royal ideology ties this directly to kingship: by laying out canals, fields, and cities in rectilinear plots using length and area measures, the king “imitates” Marduk’s or Enlil’s original act of dividing space, turning geometry itself into a mythically sanctioned activity that maintains order against chaos.</w:t>
      </w:r>
      <w:bookmarkStart w:id="76" w:name="fnref63"/>
      <w:bookmarkEnd w:id="76"/>
      <w:hyperlink w:anchor="fn63">
        <w:r>
          <w:rPr>
            <w:rFonts w:eastAsia="inter" w:cs="inter" w:ascii="inter" w:hAnsi="inter"/>
            <w:color w:val="#000"/>
            <w:sz w:val="21"/>
            <w:u w:val="single"/>
            <w:vertAlign w:val="superscript"/>
          </w:rPr>
          <w:t xml:space="preserve">[63]</w:t>
        </w:r>
      </w:hyperlink>
      <w:bookmarkStart w:id="77" w:name="fnref64"/>
      <w:bookmarkEnd w:id="77"/>
      <w:hyperlink w:anchor="fn64">
        <w:r>
          <w:rPr>
            <w:rFonts w:eastAsia="inter" w:cs="inter" w:ascii="inter" w:hAnsi="inter"/>
            <w:color w:val="#000"/>
            <w:sz w:val="21"/>
            <w:u w:val="single"/>
            <w:vertAlign w:val="superscript"/>
          </w:rPr>
          <w:t xml:space="preserve">[64]</w:t>
        </w:r>
      </w:hyperlink>
      <w:bookmarkStart w:id="78" w:name="fnref62_1"/>
      <w:bookmarkEnd w:id="78"/>
      <w:hyperlink w:anchor="fn62">
        <w:r>
          <w:rPr>
            <w:rFonts w:eastAsia="inter" w:cs="inter" w:ascii="inter" w:hAnsi="inter"/>
            <w:color w:val="#000"/>
            <w:sz w:val="21"/>
            <w:u w:val="single"/>
            <w:vertAlign w:val="superscript"/>
          </w:rPr>
          <w:t xml:space="preserve">[62]</w:t>
        </w:r>
      </w:hyperlink>
    </w:p>
    <w:p>
      <w:pPr>
        <w:spacing w:line="360" w:after="210" w:lineRule="auto"/>
      </w:pPr>
      <w:r>
        <w:rPr>
          <w:rFonts w:eastAsia="inter" w:cs="inter" w:ascii="inter" w:hAnsi="inter"/>
          <w:color w:val="000000"/>
        </w:rPr>
        <w:t xml:space="preserve">In all these cases, the myth is not just illustrated by geometry; the myth </w:t>
      </w:r>
      <w:r>
        <w:rPr>
          <w:rFonts w:eastAsia="inter" w:cs="inter" w:ascii="inter" w:hAnsi="inter"/>
          <w:i/>
          <w:color w:val="000000"/>
        </w:rPr>
        <w:t xml:space="preserve">is</w:t>
      </w:r>
      <w:r>
        <w:rPr>
          <w:rFonts w:eastAsia="inter" w:cs="inter" w:ascii="inter" w:hAnsi="inter"/>
          <w:color w:val="000000"/>
        </w:rPr>
        <w:t xml:space="preserve"> about geometry—about gods who define circles, divide wholes into equal parts, assign numbers, and stabilize grids in heaven and on earth.</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9" w:name="how_did_mesopotamians_use_geometr_c4f920"/>
      <w:r>
        <w:rPr>
          <w:rFonts w:eastAsia="inter" w:cs="inter" w:ascii="inter" w:hAnsi="inter"/>
          <w:b/>
          <w:color w:val="000000"/>
          <w:sz w:val="39"/>
        </w:rPr>
        <w:t xml:space="preserve">How did Mesopotamians use geometric symbols in temple architecture</w:t>
      </w:r>
      <w:bookmarkEnd w:id="79"/>
    </w:p>
    <w:p>
      <w:pPr>
        <w:spacing w:line="360" w:after="210" w:lineRule="auto"/>
      </w:pPr>
      <w:r>
        <w:rPr>
          <w:rFonts w:eastAsia="inter" w:cs="inter" w:ascii="inter" w:hAnsi="inter"/>
          <w:color w:val="000000"/>
        </w:rPr>
        <w:t xml:space="preserve">Mesopotamians embedded geometry directly into temple design: in the ground plans, in the massing of ziggurats, and in the patterned brick and cone decoration that covered sacred walls.</w:t>
      </w:r>
      <w:bookmarkStart w:id="80" w:name="fnref68"/>
      <w:bookmarkEnd w:id="80"/>
      <w:hyperlink w:anchor="fn68">
        <w:r>
          <w:rPr>
            <w:rFonts w:eastAsia="inter" w:cs="inter" w:ascii="inter" w:hAnsi="inter"/>
            <w:color w:val="#000"/>
            <w:u w:val="single"/>
            <w:vertAlign w:val="superscript"/>
          </w:rPr>
          <w:t xml:space="preserve">[68]</w:t>
        </w:r>
      </w:hyperlink>
      <w:bookmarkStart w:id="81" w:name="fnref69"/>
      <w:bookmarkEnd w:id="81"/>
      <w:hyperlink w:anchor="fn69">
        <w:r>
          <w:rPr>
            <w:rFonts w:eastAsia="inter" w:cs="inter" w:ascii="inter" w:hAnsi="inter"/>
            <w:color w:val="#000"/>
            <w:u w:val="single"/>
            <w:vertAlign w:val="superscript"/>
          </w:rPr>
          <w:t xml:space="preserve">[69]</w:t>
        </w:r>
      </w:hyperlink>
      <w:bookmarkStart w:id="82" w:name="fnref70"/>
      <w:bookmarkEnd w:id="82"/>
      <w:hyperlink w:anchor="fn70">
        <w:r>
          <w:rPr>
            <w:rFonts w:eastAsia="inter" w:cs="inter" w:ascii="inter" w:hAnsi="inter"/>
            <w:color w:val="#000"/>
            <w:u w:val="single"/>
            <w:vertAlign w:val="superscript"/>
          </w:rPr>
          <w:t xml:space="preserve">[70]</w:t>
        </w:r>
      </w:hyperlink>
    </w:p>
    <w:p>
      <w:pPr>
        <w:spacing w:line="360" w:before="315" w:after="105" w:lineRule="auto"/>
        <w:ind w:left="-30"/>
        <w:jc w:val="left"/>
      </w:pPr>
      <w:bookmarkStart w:id="83" w:name="oriented_plans_and_sacred_rectangles"/>
      <w:r>
        <w:rPr>
          <w:rFonts w:eastAsia="inter" w:cs="inter" w:ascii="inter" w:hAnsi="inter"/>
          <w:b/>
          <w:color w:val="000000"/>
          <w:sz w:val="24"/>
        </w:rPr>
        <w:t xml:space="preserve">Oriented plans and sacred rectangles</w:t>
      </w:r>
      <w:bookmarkEnd w:id="83"/>
    </w:p>
    <w:p>
      <w:pPr>
        <w:numPr>
          <w:ilvl w:val="0"/>
          <w:numId w:val="9"/>
        </w:numPr>
        <w:spacing w:line="360" w:before="105" w:after="105" w:lineRule="auto"/>
      </w:pPr>
      <w:r>
        <w:rPr>
          <w:rFonts w:eastAsia="inter" w:cs="inter" w:ascii="inter" w:hAnsi="inter"/>
          <w:color w:val="000000"/>
          <w:sz w:val="21"/>
        </w:rPr>
        <w:t xml:space="preserve">Ground-level temples were typically planned as elongated rectangles with a carefully fixed length‑to‑width ratio; many later Mesopotamian temples keep a “long room” sanctuary laid out on a strict rectangular grid, with the altar and cult statue set on a main axis. These rectangles were often cardinally oriented (or, in some cases, aligned so that their diagonals are cardinal), showing that establishing a geometric line on the terrain was a first ritual-technical act before building.</w:t>
      </w:r>
      <w:bookmarkStart w:id="84" w:name="fnref71"/>
      <w:bookmarkEnd w:id="84"/>
      <w:hyperlink w:anchor="fn71">
        <w:r>
          <w:rPr>
            <w:rFonts w:eastAsia="inter" w:cs="inter" w:ascii="inter" w:hAnsi="inter"/>
            <w:color w:val="#000"/>
            <w:sz w:val="21"/>
            <w:u w:val="single"/>
            <w:vertAlign w:val="superscript"/>
          </w:rPr>
          <w:t xml:space="preserve">[71]</w:t>
        </w:r>
      </w:hyperlink>
      <w:bookmarkStart w:id="85" w:name="fnref70_1"/>
      <w:bookmarkEnd w:id="85"/>
      <w:hyperlink w:anchor="fn70">
        <w:r>
          <w:rPr>
            <w:rFonts w:eastAsia="inter" w:cs="inter" w:ascii="inter" w:hAnsi="inter"/>
            <w:color w:val="#000"/>
            <w:sz w:val="21"/>
            <w:u w:val="single"/>
            <w:vertAlign w:val="superscript"/>
          </w:rPr>
          <w:t xml:space="preserve">[70]</w:t>
        </w:r>
      </w:hyperlink>
      <w:bookmarkStart w:id="86" w:name="fnref68_1"/>
      <w:bookmarkEnd w:id="86"/>
      <w:hyperlink w:anchor="fn68">
        <w:r>
          <w:rPr>
            <w:rFonts w:eastAsia="inter" w:cs="inter" w:ascii="inter" w:hAnsi="inter"/>
            <w:color w:val="#000"/>
            <w:sz w:val="21"/>
            <w:u w:val="single"/>
            <w:vertAlign w:val="superscript"/>
          </w:rPr>
          <w:t xml:space="preserve">[68]</w:t>
        </w:r>
      </w:hyperlink>
    </w:p>
    <w:p>
      <w:pPr>
        <w:numPr>
          <w:ilvl w:val="0"/>
          <w:numId w:val="9"/>
        </w:numPr>
        <w:spacing w:line="360" w:before="105" w:after="105" w:lineRule="auto"/>
      </w:pPr>
      <w:r>
        <w:rPr>
          <w:rFonts w:eastAsia="inter" w:cs="inter" w:ascii="inter" w:hAnsi="inter"/>
          <w:color w:val="000000"/>
          <w:sz w:val="21"/>
        </w:rPr>
        <w:t xml:space="preserve">Ziggurats—stepped temple platforms—used large rectangular or square bases (for example, the ziggurat of Ur at about 64 × 46 meters) whose corners are oriented very close to true north, south, east, and west. This makes the whole temple tower a three‑dimensional geometric marker tying the god’s dwelling to the ordered directions of the cosmos.</w:t>
      </w:r>
      <w:bookmarkStart w:id="87" w:name="fnref69_1"/>
      <w:bookmarkEnd w:id="87"/>
      <w:hyperlink w:anchor="fn69">
        <w:r>
          <w:rPr>
            <w:rFonts w:eastAsia="inter" w:cs="inter" w:ascii="inter" w:hAnsi="inter"/>
            <w:color w:val="#000"/>
            <w:sz w:val="21"/>
            <w:u w:val="single"/>
            <w:vertAlign w:val="superscript"/>
          </w:rPr>
          <w:t xml:space="preserve">[69]</w:t>
        </w:r>
      </w:hyperlink>
      <w:bookmarkStart w:id="88" w:name="fnref70_2"/>
      <w:bookmarkEnd w:id="88"/>
      <w:hyperlink w:anchor="fn70">
        <w:r>
          <w:rPr>
            <w:rFonts w:eastAsia="inter" w:cs="inter" w:ascii="inter" w:hAnsi="inter"/>
            <w:color w:val="#000"/>
            <w:sz w:val="21"/>
            <w:u w:val="single"/>
            <w:vertAlign w:val="superscript"/>
          </w:rPr>
          <w:t xml:space="preserve">[70]</w:t>
        </w:r>
      </w:hyperlink>
      <w:bookmarkStart w:id="89" w:name="fnref72"/>
      <w:bookmarkEnd w:id="89"/>
      <w:hyperlink w:anchor="fn72">
        <w:r>
          <w:rPr>
            <w:rFonts w:eastAsia="inter" w:cs="inter" w:ascii="inter" w:hAnsi="inter"/>
            <w:color w:val="#000"/>
            <w:sz w:val="21"/>
            <w:u w:val="single"/>
            <w:vertAlign w:val="superscript"/>
          </w:rPr>
          <w:t xml:space="preserve">[72]</w:t>
        </w:r>
      </w:hyperlink>
      <w:bookmarkStart w:id="90" w:name="fnref73"/>
      <w:bookmarkEnd w:id="90"/>
      <w:hyperlink w:anchor="fn73">
        <w:r>
          <w:rPr>
            <w:rFonts w:eastAsia="inter" w:cs="inter" w:ascii="inter" w:hAnsi="inter"/>
            <w:color w:val="#000"/>
            <w:sz w:val="21"/>
            <w:u w:val="single"/>
            <w:vertAlign w:val="superscript"/>
          </w:rPr>
          <w:t xml:space="preserve">[73]</w:t>
        </w:r>
      </w:hyperlink>
      <w:bookmarkStart w:id="91" w:name="fnref74"/>
      <w:bookmarkEnd w:id="91"/>
      <w:hyperlink w:anchor="fn74">
        <w:r>
          <w:rPr>
            <w:rFonts w:eastAsia="inter" w:cs="inter" w:ascii="inter" w:hAnsi="inter"/>
            <w:color w:val="#000"/>
            <w:sz w:val="21"/>
            <w:u w:val="single"/>
            <w:vertAlign w:val="superscript"/>
          </w:rPr>
          <w:t xml:space="preserve">[74]</w:t>
        </w:r>
      </w:hyperlink>
    </w:p>
    <w:p>
      <w:pPr>
        <w:spacing w:line="360" w:before="315" w:after="105" w:lineRule="auto"/>
        <w:ind w:left="-30"/>
        <w:jc w:val="left"/>
      </w:pPr>
      <w:bookmarkStart w:id="92" w:name="stepped_masses_ratios_and_vertica_680885"/>
      <w:r>
        <w:rPr>
          <w:rFonts w:eastAsia="inter" w:cs="inter" w:ascii="inter" w:hAnsi="inter"/>
          <w:b/>
          <w:color w:val="000000"/>
          <w:sz w:val="24"/>
        </w:rPr>
        <w:t xml:space="preserve">Stepped masses, ratios, and vertical geometry</w:t>
      </w:r>
      <w:bookmarkEnd w:id="92"/>
    </w:p>
    <w:p>
      <w:pPr>
        <w:numPr>
          <w:ilvl w:val="0"/>
          <w:numId w:val="10"/>
        </w:numPr>
        <w:spacing w:line="360" w:before="105" w:after="105" w:lineRule="auto"/>
      </w:pPr>
      <w:r>
        <w:rPr>
          <w:rFonts w:eastAsia="inter" w:cs="inter" w:ascii="inter" w:hAnsi="inter"/>
          <w:color w:val="000000"/>
          <w:sz w:val="21"/>
        </w:rPr>
        <w:t xml:space="preserve">Ziggurats were built as successively smaller platforms stacked in receding stages, generating a stepped pyramid made from simple geometric solids (rectangular prisms) of diminishing footprint but similar proportions. Astro‑archaeological studies show that platform ratios in some ziggurats can be modeled with Pythagorean triples such as 3:4:5 or with squares and their diagonals (1:1:√2), indicating conscious geometric proportioning of height to length and width.</w:t>
      </w:r>
      <w:bookmarkStart w:id="93" w:name="fnref70_3"/>
      <w:bookmarkEnd w:id="93"/>
      <w:hyperlink w:anchor="fn70">
        <w:r>
          <w:rPr>
            <w:rFonts w:eastAsia="inter" w:cs="inter" w:ascii="inter" w:hAnsi="inter"/>
            <w:color w:val="#000"/>
            <w:sz w:val="21"/>
            <w:u w:val="single"/>
            <w:vertAlign w:val="superscript"/>
          </w:rPr>
          <w:t xml:space="preserve">[70]</w:t>
        </w:r>
      </w:hyperlink>
      <w:bookmarkStart w:id="94" w:name="fnref75"/>
      <w:bookmarkEnd w:id="94"/>
      <w:hyperlink w:anchor="fn75">
        <w:r>
          <w:rPr>
            <w:rFonts w:eastAsia="inter" w:cs="inter" w:ascii="inter" w:hAnsi="inter"/>
            <w:color w:val="#000"/>
            <w:sz w:val="21"/>
            <w:u w:val="single"/>
            <w:vertAlign w:val="superscript"/>
          </w:rPr>
          <w:t xml:space="preserve">[75]</w:t>
        </w:r>
      </w:hyperlink>
      <w:bookmarkStart w:id="95" w:name="fnref73_1"/>
      <w:bookmarkEnd w:id="95"/>
      <w:hyperlink w:anchor="fn73">
        <w:r>
          <w:rPr>
            <w:rFonts w:eastAsia="inter" w:cs="inter" w:ascii="inter" w:hAnsi="inter"/>
            <w:color w:val="#000"/>
            <w:sz w:val="21"/>
            <w:u w:val="single"/>
            <w:vertAlign w:val="superscript"/>
          </w:rPr>
          <w:t xml:space="preserve">[73]</w:t>
        </w:r>
      </w:hyperlink>
      <w:bookmarkStart w:id="96" w:name="fnref69_2"/>
      <w:bookmarkEnd w:id="96"/>
      <w:hyperlink w:anchor="fn69">
        <w:r>
          <w:rPr>
            <w:rFonts w:eastAsia="inter" w:cs="inter" w:ascii="inter" w:hAnsi="inter"/>
            <w:color w:val="#000"/>
            <w:sz w:val="21"/>
            <w:u w:val="single"/>
            <w:vertAlign w:val="superscript"/>
          </w:rPr>
          <w:t xml:space="preserve">[69]</w:t>
        </w:r>
      </w:hyperlink>
    </w:p>
    <w:p>
      <w:pPr>
        <w:numPr>
          <w:ilvl w:val="0"/>
          <w:numId w:val="10"/>
        </w:numPr>
        <w:spacing w:line="360" w:before="105" w:after="105" w:lineRule="auto"/>
      </w:pPr>
      <w:r>
        <w:rPr>
          <w:rFonts w:eastAsia="inter" w:cs="inter" w:ascii="inter" w:hAnsi="inter"/>
          <w:color w:val="000000"/>
          <w:sz w:val="21"/>
        </w:rPr>
        <w:t xml:space="preserve">Stairs and ramps were placed to emphasize diagonals and axes—typically a main ceremonial stair aligned on a principal side or corner—so that pilgrimage movement up the tower followed legible geometric paths (straight or symmetrically flared) linking earth and heaven.</w:t>
      </w:r>
      <w:bookmarkStart w:id="97" w:name="fnref72_1"/>
      <w:bookmarkEnd w:id="97"/>
      <w:hyperlink w:anchor="fn72">
        <w:r>
          <w:rPr>
            <w:rFonts w:eastAsia="inter" w:cs="inter" w:ascii="inter" w:hAnsi="inter"/>
            <w:color w:val="#000"/>
            <w:sz w:val="21"/>
            <w:u w:val="single"/>
            <w:vertAlign w:val="superscript"/>
          </w:rPr>
          <w:t xml:space="preserve">[72]</w:t>
        </w:r>
      </w:hyperlink>
      <w:bookmarkStart w:id="98" w:name="fnref76"/>
      <w:bookmarkEnd w:id="98"/>
      <w:hyperlink w:anchor="fn76">
        <w:r>
          <w:rPr>
            <w:rFonts w:eastAsia="inter" w:cs="inter" w:ascii="inter" w:hAnsi="inter"/>
            <w:color w:val="#000"/>
            <w:sz w:val="21"/>
            <w:u w:val="single"/>
            <w:vertAlign w:val="superscript"/>
          </w:rPr>
          <w:t xml:space="preserve">[76]</w:t>
        </w:r>
      </w:hyperlink>
      <w:bookmarkStart w:id="99" w:name="fnref69_3"/>
      <w:bookmarkEnd w:id="99"/>
      <w:hyperlink w:anchor="fn69">
        <w:r>
          <w:rPr>
            <w:rFonts w:eastAsia="inter" w:cs="inter" w:ascii="inter" w:hAnsi="inter"/>
            <w:color w:val="#000"/>
            <w:sz w:val="21"/>
            <w:u w:val="single"/>
            <w:vertAlign w:val="superscript"/>
          </w:rPr>
          <w:t xml:space="preserve">[69]</w:t>
        </w:r>
      </w:hyperlink>
    </w:p>
    <w:p>
      <w:pPr>
        <w:spacing w:line="360" w:before="315" w:after="105" w:lineRule="auto"/>
        <w:ind w:left="-30"/>
        <w:jc w:val="left"/>
      </w:pPr>
      <w:bookmarkStart w:id="100" w:name="façade_patterning_niches_cones_and_grids"/>
      <w:r>
        <w:rPr>
          <w:rFonts w:eastAsia="inter" w:cs="inter" w:ascii="inter" w:hAnsi="inter"/>
          <w:b/>
          <w:color w:val="000000"/>
          <w:sz w:val="24"/>
        </w:rPr>
        <w:t xml:space="preserve">Façade patterning: niches, cones, and grids</w:t>
      </w:r>
      <w:bookmarkEnd w:id="100"/>
    </w:p>
    <w:p>
      <w:pPr>
        <w:numPr>
          <w:ilvl w:val="0"/>
          <w:numId w:val="11"/>
        </w:numPr>
        <w:spacing w:line="360" w:before="105" w:after="105" w:lineRule="auto"/>
      </w:pPr>
      <w:r>
        <w:rPr>
          <w:rFonts w:eastAsia="inter" w:cs="inter" w:ascii="inter" w:hAnsi="inter"/>
          <w:color w:val="000000"/>
          <w:sz w:val="21"/>
        </w:rPr>
        <w:t xml:space="preserve">Early temples (for example at Eridu and in Ur III complexes) used niched and buttressed façades: shallow vertical projections and recesses repeated at regular intervals, creating a rhythmic grid of rectangular units across the outside wall. This pattern breaks a long wall into equal bays, turning the entire façade into a measured, modular surface rather than a blank mass.</w:t>
      </w:r>
      <w:bookmarkStart w:id="101" w:name="fnref77"/>
      <w:bookmarkEnd w:id="101"/>
      <w:hyperlink w:anchor="fn77">
        <w:r>
          <w:rPr>
            <w:rFonts w:eastAsia="inter" w:cs="inter" w:ascii="inter" w:hAnsi="inter"/>
            <w:color w:val="#000"/>
            <w:sz w:val="21"/>
            <w:u w:val="single"/>
            <w:vertAlign w:val="superscript"/>
          </w:rPr>
          <w:t xml:space="preserve">[77]</w:t>
        </w:r>
      </w:hyperlink>
      <w:bookmarkStart w:id="102" w:name="fnref71_1"/>
      <w:bookmarkEnd w:id="102"/>
      <w:hyperlink w:anchor="fn71">
        <w:r>
          <w:rPr>
            <w:rFonts w:eastAsia="inter" w:cs="inter" w:ascii="inter" w:hAnsi="inter"/>
            <w:color w:val="#000"/>
            <w:sz w:val="21"/>
            <w:u w:val="single"/>
            <w:vertAlign w:val="superscript"/>
          </w:rPr>
          <w:t xml:space="preserve">[71]</w:t>
        </w:r>
      </w:hyperlink>
    </w:p>
    <w:p>
      <w:pPr>
        <w:numPr>
          <w:ilvl w:val="0"/>
          <w:numId w:val="11"/>
        </w:numPr>
        <w:spacing w:line="360" w:before="105" w:after="105" w:lineRule="auto"/>
      </w:pPr>
      <w:r>
        <w:rPr>
          <w:rFonts w:eastAsia="inter" w:cs="inter" w:ascii="inter" w:hAnsi="inter"/>
          <w:color w:val="000000"/>
          <w:sz w:val="21"/>
        </w:rPr>
        <w:t xml:space="preserve">In some periods, walls were faced with thousands of small, colored clay cones pressed into wet plaster in repeating arrangements of triangles, zigzags, and lozenges, effectively turning the temple skin into a large geometric mosaic. The cones were set in tightly controlled rows and angles, producing repeating patterns that visually broadcast order and symmetry even from a distance.</w:t>
      </w:r>
      <w:bookmarkStart w:id="103" w:name="fnref77_1"/>
      <w:bookmarkEnd w:id="103"/>
      <w:hyperlink w:anchor="fn77">
        <w:r>
          <w:rPr>
            <w:rFonts w:eastAsia="inter" w:cs="inter" w:ascii="inter" w:hAnsi="inter"/>
            <w:color w:val="#000"/>
            <w:sz w:val="21"/>
            <w:u w:val="single"/>
            <w:vertAlign w:val="superscript"/>
          </w:rPr>
          <w:t xml:space="preserve">[77]</w:t>
        </w:r>
      </w:hyperlink>
    </w:p>
    <w:p>
      <w:pPr>
        <w:spacing w:line="360" w:before="315" w:after="105" w:lineRule="auto"/>
        <w:ind w:left="-30"/>
        <w:jc w:val="left"/>
      </w:pPr>
      <w:bookmarkStart w:id="104" w:name="glazed_brick_iconography_and_star_569396"/>
      <w:r>
        <w:rPr>
          <w:rFonts w:eastAsia="inter" w:cs="inter" w:ascii="inter" w:hAnsi="inter"/>
          <w:b/>
          <w:color w:val="000000"/>
          <w:sz w:val="24"/>
        </w:rPr>
        <w:t xml:space="preserve">Glazed-brick iconography and star/rosette geometry</w:t>
      </w:r>
      <w:bookmarkEnd w:id="104"/>
    </w:p>
    <w:p>
      <w:pPr>
        <w:numPr>
          <w:ilvl w:val="0"/>
          <w:numId w:val="12"/>
        </w:numPr>
        <w:spacing w:line="360" w:before="105" w:after="105" w:lineRule="auto"/>
      </w:pPr>
      <w:r>
        <w:rPr>
          <w:rFonts w:eastAsia="inter" w:cs="inter" w:ascii="inter" w:hAnsi="inter"/>
          <w:color w:val="000000"/>
          <w:sz w:val="21"/>
        </w:rPr>
        <w:t xml:space="preserve">By the Neo‑Babylonian period, sacred precincts like Babylon’s Ishtar Gate and throne room complex used molded and glazed bricks to create repeating bands of rosettes and abstract borders along walls and plinths. Each rosette is a carefully constructed radial figure (often with 8 or more petals) set into a regular grid of bricks, so that fertility and divine presence are expressed through strict rotational symmetry and modular repetition.</w:t>
      </w:r>
      <w:bookmarkStart w:id="105" w:name="fnref78"/>
      <w:bookmarkEnd w:id="105"/>
      <w:hyperlink w:anchor="fn78">
        <w:r>
          <w:rPr>
            <w:rFonts w:eastAsia="inter" w:cs="inter" w:ascii="inter" w:hAnsi="inter"/>
            <w:color w:val="#000"/>
            <w:sz w:val="21"/>
            <w:u w:val="single"/>
            <w:vertAlign w:val="superscript"/>
          </w:rPr>
          <w:t xml:space="preserve">[78]</w:t>
        </w:r>
      </w:hyperlink>
      <w:bookmarkStart w:id="106" w:name="fnref79"/>
      <w:bookmarkEnd w:id="106"/>
      <w:hyperlink w:anchor="fn79">
        <w:r>
          <w:rPr>
            <w:rFonts w:eastAsia="inter" w:cs="inter" w:ascii="inter" w:hAnsi="inter"/>
            <w:color w:val="#000"/>
            <w:sz w:val="21"/>
            <w:u w:val="single"/>
            <w:vertAlign w:val="superscript"/>
          </w:rPr>
          <w:t xml:space="preserve">[79]</w:t>
        </w:r>
      </w:hyperlink>
      <w:bookmarkStart w:id="107" w:name="fnref80"/>
      <w:bookmarkEnd w:id="107"/>
      <w:hyperlink w:anchor="fn80">
        <w:r>
          <w:rPr>
            <w:rFonts w:eastAsia="inter" w:cs="inter" w:ascii="inter" w:hAnsi="inter"/>
            <w:color w:val="#000"/>
            <w:sz w:val="21"/>
            <w:u w:val="single"/>
            <w:vertAlign w:val="superscript"/>
          </w:rPr>
          <w:t xml:space="preserve">[80]</w:t>
        </w:r>
      </w:hyperlink>
    </w:p>
    <w:p>
      <w:pPr>
        <w:numPr>
          <w:ilvl w:val="0"/>
          <w:numId w:val="12"/>
        </w:numPr>
        <w:spacing w:line="360" w:before="105" w:after="105" w:lineRule="auto"/>
      </w:pPr>
      <w:r>
        <w:rPr>
          <w:rFonts w:eastAsia="inter" w:cs="inter" w:ascii="inter" w:hAnsi="inter"/>
          <w:color w:val="000000"/>
          <w:sz w:val="21"/>
        </w:rPr>
        <w:t xml:space="preserve">Linear borders—meander‑like strips, stepped patterns, and framed fields—run horizontally at fixed heights on the walls of gates and along the Processional Way, organizing animal figures (lions, bulls, mušḫuššu dragons) into measured rows and panels. The visual rhythm of evenly spaced figures and rosettes along a straight processional axis turns the whole approach to the temple into a geometric corridor of images keyed to specific gods.</w:t>
      </w:r>
      <w:bookmarkStart w:id="108" w:name="fnref81"/>
      <w:bookmarkEnd w:id="108"/>
      <w:hyperlink w:anchor="fn81">
        <w:r>
          <w:rPr>
            <w:rFonts w:eastAsia="inter" w:cs="inter" w:ascii="inter" w:hAnsi="inter"/>
            <w:color w:val="#000"/>
            <w:sz w:val="21"/>
            <w:u w:val="single"/>
            <w:vertAlign w:val="superscript"/>
          </w:rPr>
          <w:t xml:space="preserve">[81]</w:t>
        </w:r>
      </w:hyperlink>
      <w:bookmarkStart w:id="109" w:name="fnref79_1"/>
      <w:bookmarkEnd w:id="109"/>
      <w:hyperlink w:anchor="fn79">
        <w:r>
          <w:rPr>
            <w:rFonts w:eastAsia="inter" w:cs="inter" w:ascii="inter" w:hAnsi="inter"/>
            <w:color w:val="#000"/>
            <w:sz w:val="21"/>
            <w:u w:val="single"/>
            <w:vertAlign w:val="superscript"/>
          </w:rPr>
          <w:t xml:space="preserve">[79]</w:t>
        </w:r>
      </w:hyperlink>
      <w:bookmarkStart w:id="110" w:name="fnref82"/>
      <w:bookmarkEnd w:id="110"/>
      <w:hyperlink w:anchor="fn82">
        <w:r>
          <w:rPr>
            <w:rFonts w:eastAsia="inter" w:cs="inter" w:ascii="inter" w:hAnsi="inter"/>
            <w:color w:val="#000"/>
            <w:sz w:val="21"/>
            <w:u w:val="single"/>
            <w:vertAlign w:val="superscript"/>
          </w:rPr>
          <w:t xml:space="preserve">[82]</w:t>
        </w:r>
      </w:hyperlink>
    </w:p>
    <w:p>
      <w:pPr>
        <w:spacing w:line="360" w:before="315" w:after="105" w:lineRule="auto"/>
        <w:ind w:left="-30"/>
        <w:jc w:val="left"/>
      </w:pPr>
      <w:bookmarkStart w:id="111" w:name="cardinal_space_celestial_links_an_7231f0"/>
      <w:r>
        <w:rPr>
          <w:rFonts w:eastAsia="inter" w:cs="inter" w:ascii="inter" w:hAnsi="inter"/>
          <w:b/>
          <w:color w:val="000000"/>
          <w:sz w:val="24"/>
        </w:rPr>
        <w:t xml:space="preserve">Cardinal space, celestial links, and architectural “diagrams”</w:t>
      </w:r>
      <w:bookmarkEnd w:id="111"/>
    </w:p>
    <w:p>
      <w:pPr>
        <w:numPr>
          <w:ilvl w:val="0"/>
          <w:numId w:val="13"/>
        </w:numPr>
        <w:spacing w:line="360" w:before="105" w:after="105" w:lineRule="auto"/>
      </w:pPr>
      <w:r>
        <w:rPr>
          <w:rFonts w:eastAsia="inter" w:cs="inter" w:ascii="inter" w:hAnsi="inter"/>
          <w:color w:val="000000"/>
          <w:sz w:val="21"/>
        </w:rPr>
        <w:t xml:space="preserve">Surveys of dozens of temple sites show a strong preference for cardinal orientation: either the long axis or the diagonal of the temple rectangle is aligned to the cardinal directions, with deviations typically within a few degrees. This makes each temple a geometric instrument that locks the cult room, altar, and ziggurat stair into the same directional framework used for observing the sun, moon, and planets.</w:t>
      </w:r>
      <w:bookmarkStart w:id="112" w:name="fnref70_4"/>
      <w:bookmarkEnd w:id="112"/>
      <w:hyperlink w:anchor="fn70">
        <w:r>
          <w:rPr>
            <w:rFonts w:eastAsia="inter" w:cs="inter" w:ascii="inter" w:hAnsi="inter"/>
            <w:color w:val="#000"/>
            <w:sz w:val="21"/>
            <w:u w:val="single"/>
            <w:vertAlign w:val="superscript"/>
          </w:rPr>
          <w:t xml:space="preserve">[70]</w:t>
        </w:r>
      </w:hyperlink>
    </w:p>
    <w:p>
      <w:pPr>
        <w:numPr>
          <w:ilvl w:val="0"/>
          <w:numId w:val="13"/>
        </w:numPr>
        <w:spacing w:line="360" w:before="105" w:after="105" w:lineRule="auto"/>
      </w:pPr>
      <w:r>
        <w:rPr>
          <w:rFonts w:eastAsia="inter" w:cs="inter" w:ascii="inter" w:hAnsi="inter"/>
          <w:color w:val="000000"/>
          <w:sz w:val="21"/>
        </w:rPr>
        <w:t xml:space="preserve">Colored glazing on different ziggurat levels and façades may also have had geometric–astral logic, with bands of color marking vertical “zones” analogous to layers of heaven. In this way, the temple compound becomes a built diagram: rectangles, steps, grids, and rosettes all work together so that anyone entering sacred space passes through, and is oriented by, visibly ordered geometry.</w:t>
      </w:r>
      <w:bookmarkStart w:id="113" w:name="fnref69_4"/>
      <w:bookmarkEnd w:id="113"/>
      <w:hyperlink w:anchor="fn69">
        <w:r>
          <w:rPr>
            <w:rFonts w:eastAsia="inter" w:cs="inter" w:ascii="inter" w:hAnsi="inter"/>
            <w:color w:val="#000"/>
            <w:sz w:val="21"/>
            <w:u w:val="single"/>
            <w:vertAlign w:val="superscript"/>
          </w:rPr>
          <w:t xml:space="preserve">[69]</w:t>
        </w:r>
      </w:hyperlink>
      <w:bookmarkStart w:id="114" w:name="fnref70_5"/>
      <w:bookmarkEnd w:id="114"/>
      <w:hyperlink w:anchor="fn70">
        <w:r>
          <w:rPr>
            <w:rFonts w:eastAsia="inter" w:cs="inter" w:ascii="inter" w:hAnsi="inter"/>
            <w:color w:val="#000"/>
            <w:sz w:val="21"/>
            <w:u w:val="single"/>
            <w:vertAlign w:val="superscript"/>
          </w:rPr>
          <w:t xml:space="preserve">[70]</w:t>
        </w:r>
      </w:hyperlink>
      <w:r>
        <w:rPr>
          <w:rFonts w:eastAsia="inter" w:cs="inter" w:ascii="inter" w:hAnsi="inter"/>
          <w:color w:val="000000"/>
          <w:sz w:val="21"/>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5" w:name="examples_of_geometric_motifs_on_m_729470"/>
      <w:r>
        <w:rPr>
          <w:rFonts w:eastAsia="inter" w:cs="inter" w:ascii="inter" w:hAnsi="inter"/>
          <w:b/>
          <w:color w:val="000000"/>
          <w:sz w:val="39"/>
        </w:rPr>
        <w:t xml:space="preserve">Examples of geometric motifs on Mesopotamian temple façades</w:t>
      </w:r>
      <w:bookmarkEnd w:id="115"/>
    </w:p>
    <w:p>
      <w:pPr>
        <w:spacing w:line="360" w:after="210" w:lineRule="auto"/>
      </w:pPr>
      <w:r>
        <w:rPr>
          <w:rFonts w:eastAsia="inter" w:cs="inter" w:ascii="inter" w:hAnsi="inter"/>
          <w:color w:val="000000"/>
        </w:rPr>
        <w:t xml:space="preserve">Mesopotamian temple façades use a small, fairly repeatable toolkit of geometric motifs, applied in different media and scales.</w:t>
      </w:r>
      <w:bookmarkStart w:id="116" w:name="fnref88"/>
      <w:bookmarkEnd w:id="116"/>
      <w:hyperlink w:anchor="fn88">
        <w:r>
          <w:rPr>
            <w:rFonts w:eastAsia="inter" w:cs="inter" w:ascii="inter" w:hAnsi="inter"/>
            <w:color w:val="#000"/>
            <w:u w:val="single"/>
            <w:vertAlign w:val="superscript"/>
          </w:rPr>
          <w:t xml:space="preserve">[88]</w:t>
        </w:r>
      </w:hyperlink>
      <w:bookmarkStart w:id="117" w:name="fnref89"/>
      <w:bookmarkEnd w:id="117"/>
      <w:hyperlink w:anchor="fn89">
        <w:r>
          <w:rPr>
            <w:rFonts w:eastAsia="inter" w:cs="inter" w:ascii="inter" w:hAnsi="inter"/>
            <w:color w:val="#000"/>
            <w:u w:val="single"/>
            <w:vertAlign w:val="superscript"/>
          </w:rPr>
          <w:t xml:space="preserve">[89]</w:t>
        </w:r>
      </w:hyperlink>
    </w:p>
    <w:p>
      <w:pPr>
        <w:spacing w:line="360" w:before="315" w:after="105" w:lineRule="auto"/>
        <w:ind w:left="-30"/>
        <w:jc w:val="left"/>
      </w:pPr>
      <w:bookmarkStart w:id="118" w:name="cone_mosaics_uruk_early_temples"/>
      <w:r>
        <w:rPr>
          <w:rFonts w:eastAsia="inter" w:cs="inter" w:ascii="inter" w:hAnsi="inter"/>
          <w:b/>
          <w:color w:val="000000"/>
          <w:sz w:val="24"/>
        </w:rPr>
        <w:t xml:space="preserve">Cone mosaics (Uruk, early temples)</w:t>
      </w:r>
      <w:bookmarkEnd w:id="118"/>
    </w:p>
    <w:p>
      <w:pPr>
        <w:numPr>
          <w:ilvl w:val="0"/>
          <w:numId w:val="14"/>
        </w:numPr>
        <w:spacing w:line="360" w:before="105" w:after="105" w:lineRule="auto"/>
      </w:pPr>
      <w:r>
        <w:rPr>
          <w:rFonts w:eastAsia="inter" w:cs="inter" w:ascii="inter" w:hAnsi="inter"/>
          <w:color w:val="000000"/>
          <w:sz w:val="21"/>
        </w:rPr>
        <w:t xml:space="preserve">Sumerian builders pressed thousands of small, baked clay cones (about 5–10 cm long) into wet plaster so that only the painted circular ends showed, usually in red, black, and white. Arranged in rows, these produced repeating </w:t>
      </w:r>
      <w:r>
        <w:rPr>
          <w:rFonts w:eastAsia="inter" w:cs="inter" w:ascii="inter" w:hAnsi="inter"/>
          <w:b/>
          <w:color w:val="000000"/>
          <w:sz w:val="21"/>
        </w:rPr>
        <w:t xml:space="preserve">triangles, diamonds/lozenges, zigzags, and checkerboard fields</w:t>
      </w:r>
      <w:r>
        <w:rPr>
          <w:rFonts w:eastAsia="inter" w:cs="inter" w:ascii="inter" w:hAnsi="inter"/>
          <w:color w:val="000000"/>
          <w:sz w:val="21"/>
        </w:rPr>
        <w:t xml:space="preserve"> across temple walls, especially in the Eanna precinct at Uruk and other southern Mesopotamian sites.</w:t>
      </w:r>
      <w:bookmarkStart w:id="119" w:name="fnref90"/>
      <w:bookmarkEnd w:id="119"/>
      <w:hyperlink w:anchor="fn90">
        <w:r>
          <w:rPr>
            <w:rFonts w:eastAsia="inter" w:cs="inter" w:ascii="inter" w:hAnsi="inter"/>
            <w:color w:val="#000"/>
            <w:sz w:val="21"/>
            <w:u w:val="single"/>
            <w:vertAlign w:val="superscript"/>
          </w:rPr>
          <w:t xml:space="preserve">[90]</w:t>
        </w:r>
      </w:hyperlink>
      <w:bookmarkStart w:id="120" w:name="fnref91"/>
      <w:bookmarkEnd w:id="120"/>
      <w:hyperlink w:anchor="fn91">
        <w:r>
          <w:rPr>
            <w:rFonts w:eastAsia="inter" w:cs="inter" w:ascii="inter" w:hAnsi="inter"/>
            <w:color w:val="#000"/>
            <w:sz w:val="21"/>
            <w:u w:val="single"/>
            <w:vertAlign w:val="superscript"/>
          </w:rPr>
          <w:t xml:space="preserve">[91]</w:t>
        </w:r>
      </w:hyperlink>
      <w:bookmarkStart w:id="121" w:name="fnref92"/>
      <w:bookmarkEnd w:id="121"/>
      <w:hyperlink w:anchor="fn92">
        <w:r>
          <w:rPr>
            <w:rFonts w:eastAsia="inter" w:cs="inter" w:ascii="inter" w:hAnsi="inter"/>
            <w:color w:val="#000"/>
            <w:sz w:val="21"/>
            <w:u w:val="single"/>
            <w:vertAlign w:val="superscript"/>
          </w:rPr>
          <w:t xml:space="preserve">[92]</w:t>
        </w:r>
      </w:hyperlink>
      <w:bookmarkStart w:id="122" w:name="fnref93"/>
      <w:bookmarkEnd w:id="122"/>
      <w:hyperlink w:anchor="fn93">
        <w:r>
          <w:rPr>
            <w:rFonts w:eastAsia="inter" w:cs="inter" w:ascii="inter" w:hAnsi="inter"/>
            <w:color w:val="#000"/>
            <w:sz w:val="21"/>
            <w:u w:val="single"/>
            <w:vertAlign w:val="superscript"/>
          </w:rPr>
          <w:t xml:space="preserve">[93]</w:t>
        </w:r>
      </w:hyperlink>
      <w:bookmarkStart w:id="123" w:name="fnref94"/>
      <w:bookmarkEnd w:id="123"/>
      <w:hyperlink w:anchor="fn94">
        <w:r>
          <w:rPr>
            <w:rFonts w:eastAsia="inter" w:cs="inter" w:ascii="inter" w:hAnsi="inter"/>
            <w:color w:val="#000"/>
            <w:sz w:val="21"/>
            <w:u w:val="single"/>
            <w:vertAlign w:val="superscript"/>
          </w:rPr>
          <w:t xml:space="preserve">[94]</w:t>
        </w:r>
      </w:hyperlink>
      <w:bookmarkStart w:id="124" w:name="fnref95"/>
      <w:bookmarkEnd w:id="124"/>
      <w:hyperlink w:anchor="fn95">
        <w:r>
          <w:rPr>
            <w:rFonts w:eastAsia="inter" w:cs="inter" w:ascii="inter" w:hAnsi="inter"/>
            <w:color w:val="#000"/>
            <w:sz w:val="21"/>
            <w:u w:val="single"/>
            <w:vertAlign w:val="superscript"/>
          </w:rPr>
          <w:t xml:space="preserve">[95]</w:t>
        </w:r>
      </w:hyperlink>
    </w:p>
    <w:p>
      <w:pPr>
        <w:numPr>
          <w:ilvl w:val="0"/>
          <w:numId w:val="14"/>
        </w:numPr>
        <w:spacing w:line="360" w:before="105" w:after="105" w:lineRule="auto"/>
      </w:pPr>
      <w:r>
        <w:rPr>
          <w:rFonts w:eastAsia="inter" w:cs="inter" w:ascii="inter" w:hAnsi="inter"/>
          <w:color w:val="000000"/>
          <w:sz w:val="21"/>
        </w:rPr>
        <w:t xml:space="preserve">Common façade motifs from cone mosaics include:</w:t>
      </w:r>
    </w:p>
    <w:p>
      <w:pPr>
        <w:numPr>
          <w:ilvl w:val="1"/>
          <w:numId w:val="14"/>
        </w:numPr>
        <w:spacing w:line="360" w:before="105" w:after="105" w:lineRule="auto"/>
      </w:pPr>
      <w:r>
        <w:rPr>
          <w:rFonts w:eastAsia="inter" w:cs="inter" w:ascii="inter" w:hAnsi="inter"/>
          <w:color w:val="000000"/>
          <w:sz w:val="21"/>
        </w:rPr>
        <w:t xml:space="preserve">Horizontal bands of black or red </w:t>
      </w:r>
      <w:r>
        <w:rPr>
          <w:rFonts w:eastAsia="inter" w:cs="inter" w:ascii="inter" w:hAnsi="inter"/>
          <w:b/>
          <w:color w:val="000000"/>
          <w:sz w:val="21"/>
        </w:rPr>
        <w:t xml:space="preserve">triangles</w:t>
      </w:r>
      <w:r>
        <w:rPr>
          <w:rFonts w:eastAsia="inter" w:cs="inter" w:ascii="inter" w:hAnsi="inter"/>
          <w:color w:val="000000"/>
          <w:sz w:val="21"/>
        </w:rPr>
        <w:t xml:space="preserve"> pointing up or down</w:t>
      </w:r>
    </w:p>
    <w:p>
      <w:pPr>
        <w:numPr>
          <w:ilvl w:val="1"/>
          <w:numId w:val="14"/>
        </w:numPr>
        <w:spacing w:line="360" w:before="105" w:after="105" w:lineRule="auto"/>
      </w:pPr>
      <w:r>
        <w:rPr>
          <w:rFonts w:eastAsia="inter" w:cs="inter" w:ascii="inter" w:hAnsi="inter"/>
          <w:color w:val="000000"/>
          <w:sz w:val="21"/>
        </w:rPr>
        <w:t xml:space="preserve">Nested or alternating </w:t>
      </w:r>
      <w:r>
        <w:rPr>
          <w:rFonts w:eastAsia="inter" w:cs="inter" w:ascii="inter" w:hAnsi="inter"/>
          <w:b/>
          <w:color w:val="000000"/>
          <w:sz w:val="21"/>
        </w:rPr>
        <w:t xml:space="preserve">diamond (lozenge) grids</w:t>
      </w:r>
    </w:p>
    <w:p>
      <w:pPr>
        <w:numPr>
          <w:ilvl w:val="1"/>
          <w:numId w:val="14"/>
        </w:numPr>
        <w:spacing w:line="360" w:before="105" w:after="105" w:lineRule="auto"/>
      </w:pPr>
      <w:r>
        <w:rPr>
          <w:rFonts w:eastAsia="inter" w:cs="inter" w:ascii="inter" w:hAnsi="inter"/>
          <w:color w:val="000000"/>
          <w:sz w:val="21"/>
        </w:rPr>
        <w:t xml:space="preserve">Large </w:t>
      </w:r>
      <w:r>
        <w:rPr>
          <w:rFonts w:eastAsia="inter" w:cs="inter" w:ascii="inter" w:hAnsi="inter"/>
          <w:b/>
          <w:color w:val="000000"/>
          <w:sz w:val="21"/>
        </w:rPr>
        <w:t xml:space="preserve">zigzag chevrons</w:t>
      </w:r>
      <w:r>
        <w:rPr>
          <w:rFonts w:eastAsia="inter" w:cs="inter" w:ascii="inter" w:hAnsi="inter"/>
          <w:color w:val="000000"/>
          <w:sz w:val="21"/>
        </w:rPr>
        <w:t xml:space="preserve"> marching along the wall</w:t>
      </w:r>
      <w:bookmarkStart w:id="125" w:name="fnref91_1"/>
      <w:bookmarkEnd w:id="125"/>
      <w:hyperlink w:anchor="fn91">
        <w:r>
          <w:rPr>
            <w:rFonts w:eastAsia="inter" w:cs="inter" w:ascii="inter" w:hAnsi="inter"/>
            <w:color w:val="#000"/>
            <w:sz w:val="21"/>
            <w:u w:val="single"/>
            <w:vertAlign w:val="superscript"/>
          </w:rPr>
          <w:t xml:space="preserve">[91]</w:t>
        </w:r>
      </w:hyperlink>
      <w:bookmarkStart w:id="126" w:name="fnref94_1"/>
      <w:bookmarkEnd w:id="126"/>
      <w:hyperlink w:anchor="fn94">
        <w:r>
          <w:rPr>
            <w:rFonts w:eastAsia="inter" w:cs="inter" w:ascii="inter" w:hAnsi="inter"/>
            <w:color w:val="#000"/>
            <w:sz w:val="21"/>
            <w:u w:val="single"/>
            <w:vertAlign w:val="superscript"/>
          </w:rPr>
          <w:t xml:space="preserve">[94]</w:t>
        </w:r>
      </w:hyperlink>
      <w:bookmarkStart w:id="127" w:name="fnref95_1"/>
      <w:bookmarkEnd w:id="127"/>
      <w:hyperlink w:anchor="fn95">
        <w:r>
          <w:rPr>
            <w:rFonts w:eastAsia="inter" w:cs="inter" w:ascii="inter" w:hAnsi="inter"/>
            <w:color w:val="#000"/>
            <w:sz w:val="21"/>
            <w:u w:val="single"/>
            <w:vertAlign w:val="superscript"/>
          </w:rPr>
          <w:t xml:space="preserve">[95]</w:t>
        </w:r>
      </w:hyperlink>
    </w:p>
    <w:p>
      <w:pPr>
        <w:spacing w:line="360" w:before="315" w:after="105" w:lineRule="auto"/>
        <w:ind w:left="-30"/>
        <w:jc w:val="left"/>
      </w:pPr>
      <w:bookmarkStart w:id="128" w:name="niched_and_buttressed_palace_façade"/>
      <w:r>
        <w:rPr>
          <w:rFonts w:eastAsia="inter" w:cs="inter" w:ascii="inter" w:hAnsi="inter"/>
          <w:b/>
          <w:color w:val="000000"/>
          <w:sz w:val="24"/>
        </w:rPr>
        <w:t xml:space="preserve">Niched-and-buttressed “palace façade”</w:t>
      </w:r>
      <w:bookmarkEnd w:id="128"/>
    </w:p>
    <w:p>
      <w:pPr>
        <w:numPr>
          <w:ilvl w:val="0"/>
          <w:numId w:val="15"/>
        </w:numPr>
        <w:spacing w:line="360" w:before="105" w:after="105" w:lineRule="auto"/>
      </w:pPr>
      <w:r>
        <w:rPr>
          <w:rFonts w:eastAsia="inter" w:cs="inter" w:ascii="inter" w:hAnsi="inter"/>
          <w:color w:val="000000"/>
          <w:sz w:val="21"/>
        </w:rPr>
        <w:t xml:space="preserve">Many late Uruk and Early Dynastic temples use </w:t>
      </w:r>
      <w:r>
        <w:rPr>
          <w:rFonts w:eastAsia="inter" w:cs="inter" w:ascii="inter" w:hAnsi="inter"/>
          <w:b/>
          <w:color w:val="000000"/>
          <w:sz w:val="21"/>
        </w:rPr>
        <w:t xml:space="preserve">vertical niches and buttresses</w:t>
      </w:r>
      <w:r>
        <w:rPr>
          <w:rFonts w:eastAsia="inter" w:cs="inter" w:ascii="inter" w:hAnsi="inter"/>
          <w:color w:val="000000"/>
          <w:sz w:val="21"/>
        </w:rPr>
        <w:t xml:space="preserve"> that break a flat wall into a rhythmic pattern of shallow projections and recesses.</w:t>
      </w:r>
      <w:bookmarkStart w:id="129" w:name="fnref96"/>
      <w:bookmarkEnd w:id="129"/>
      <w:hyperlink w:anchor="fn96">
        <w:r>
          <w:rPr>
            <w:rFonts w:eastAsia="inter" w:cs="inter" w:ascii="inter" w:hAnsi="inter"/>
            <w:color w:val="#000"/>
            <w:sz w:val="21"/>
            <w:u w:val="single"/>
            <w:vertAlign w:val="superscript"/>
          </w:rPr>
          <w:t xml:space="preserve">[96]</w:t>
        </w:r>
      </w:hyperlink>
      <w:bookmarkStart w:id="130" w:name="fnref89_1"/>
      <w:bookmarkEnd w:id="130"/>
      <w:hyperlink w:anchor="fn89">
        <w:r>
          <w:rPr>
            <w:rFonts w:eastAsia="inter" w:cs="inter" w:ascii="inter" w:hAnsi="inter"/>
            <w:color w:val="#000"/>
            <w:sz w:val="21"/>
            <w:u w:val="single"/>
            <w:vertAlign w:val="superscript"/>
          </w:rPr>
          <w:t xml:space="preserve">[89]</w:t>
        </w:r>
      </w:hyperlink>
      <w:bookmarkStart w:id="131" w:name="fnref88_1"/>
      <w:bookmarkEnd w:id="131"/>
      <w:hyperlink w:anchor="fn88">
        <w:r>
          <w:rPr>
            <w:rFonts w:eastAsia="inter" w:cs="inter" w:ascii="inter" w:hAnsi="inter"/>
            <w:color w:val="#000"/>
            <w:sz w:val="21"/>
            <w:u w:val="single"/>
            <w:vertAlign w:val="superscript"/>
          </w:rPr>
          <w:t xml:space="preserve">[88]</w:t>
        </w:r>
      </w:hyperlink>
    </w:p>
    <w:p>
      <w:pPr>
        <w:numPr>
          <w:ilvl w:val="0"/>
          <w:numId w:val="15"/>
        </w:numPr>
        <w:spacing w:line="360" w:before="105" w:after="105" w:lineRule="auto"/>
      </w:pPr>
      <w:r>
        <w:rPr>
          <w:rFonts w:eastAsia="inter" w:cs="inter" w:ascii="inter" w:hAnsi="inter"/>
          <w:color w:val="000000"/>
          <w:sz w:val="21"/>
        </w:rPr>
        <w:t xml:space="preserve">In plan and elevation this produces:</w:t>
      </w:r>
    </w:p>
    <w:p>
      <w:pPr>
        <w:numPr>
          <w:ilvl w:val="1"/>
          <w:numId w:val="15"/>
        </w:numPr>
        <w:spacing w:line="360" w:before="105" w:after="105" w:lineRule="auto"/>
      </w:pPr>
      <w:r>
        <w:rPr>
          <w:rFonts w:eastAsia="inter" w:cs="inter" w:ascii="inter" w:hAnsi="inter"/>
          <w:color w:val="000000"/>
          <w:sz w:val="21"/>
        </w:rPr>
        <w:t xml:space="preserve">Repeating rectangular </w:t>
      </w:r>
      <w:r>
        <w:rPr>
          <w:rFonts w:eastAsia="inter" w:cs="inter" w:ascii="inter" w:hAnsi="inter"/>
          <w:b/>
          <w:color w:val="000000"/>
          <w:sz w:val="21"/>
        </w:rPr>
        <w:t xml:space="preserve">panels</w:t>
      </w:r>
      <w:r>
        <w:rPr>
          <w:rFonts w:eastAsia="inter" w:cs="inter" w:ascii="inter" w:hAnsi="inter"/>
          <w:color w:val="000000"/>
          <w:sz w:val="21"/>
        </w:rPr>
        <w:t xml:space="preserve"> framed by pilaster‑like buttresses</w:t>
      </w:r>
    </w:p>
    <w:p>
      <w:pPr>
        <w:numPr>
          <w:ilvl w:val="1"/>
          <w:numId w:val="15"/>
        </w:numPr>
        <w:spacing w:line="360" w:before="105" w:after="105" w:lineRule="auto"/>
      </w:pPr>
      <w:r>
        <w:rPr>
          <w:rFonts w:eastAsia="inter" w:cs="inter" w:ascii="inter" w:hAnsi="inter"/>
          <w:color w:val="000000"/>
          <w:sz w:val="21"/>
        </w:rPr>
        <w:t xml:space="preserve">“Compound” or nested niches, where larger recesses contain smaller ones, creating stepped, tiered rectilinear patterns along the whole façade</w:t>
      </w:r>
      <w:bookmarkStart w:id="132" w:name="fnref97"/>
      <w:bookmarkEnd w:id="132"/>
      <w:hyperlink w:anchor="fn97">
        <w:r>
          <w:rPr>
            <w:rFonts w:eastAsia="inter" w:cs="inter" w:ascii="inter" w:hAnsi="inter"/>
            <w:color w:val="#000"/>
            <w:sz w:val="21"/>
            <w:u w:val="single"/>
            <w:vertAlign w:val="superscript"/>
          </w:rPr>
          <w:t xml:space="preserve">[97]</w:t>
        </w:r>
      </w:hyperlink>
      <w:bookmarkStart w:id="133" w:name="fnref98"/>
      <w:bookmarkEnd w:id="133"/>
      <w:hyperlink w:anchor="fn98">
        <w:r>
          <w:rPr>
            <w:rFonts w:eastAsia="inter" w:cs="inter" w:ascii="inter" w:hAnsi="inter"/>
            <w:color w:val="#000"/>
            <w:sz w:val="21"/>
            <w:u w:val="single"/>
            <w:vertAlign w:val="superscript"/>
          </w:rPr>
          <w:t xml:space="preserve">[98]</w:t>
        </w:r>
      </w:hyperlink>
      <w:bookmarkStart w:id="134" w:name="fnref88_2"/>
      <w:bookmarkEnd w:id="134"/>
      <w:hyperlink w:anchor="fn88">
        <w:r>
          <w:rPr>
            <w:rFonts w:eastAsia="inter" w:cs="inter" w:ascii="inter" w:hAnsi="inter"/>
            <w:color w:val="#000"/>
            <w:sz w:val="21"/>
            <w:u w:val="single"/>
            <w:vertAlign w:val="superscript"/>
          </w:rPr>
          <w:t xml:space="preserve">[88]</w:t>
        </w:r>
      </w:hyperlink>
    </w:p>
    <w:p>
      <w:pPr>
        <w:spacing w:line="360" w:before="315" w:after="105" w:lineRule="auto"/>
        <w:ind w:left="-30"/>
        <w:jc w:val="left"/>
      </w:pPr>
      <w:bookmarkStart w:id="135" w:name="glazed_brick_geometry_on_neo_baby_aac739"/>
      <w:r>
        <w:rPr>
          <w:rFonts w:eastAsia="inter" w:cs="inter" w:ascii="inter" w:hAnsi="inter"/>
          <w:b/>
          <w:color w:val="000000"/>
          <w:sz w:val="24"/>
        </w:rPr>
        <w:t xml:space="preserve">Glazed-brick geometry on Neo‑Babylonian façades</w:t>
      </w:r>
      <w:bookmarkEnd w:id="135"/>
    </w:p>
    <w:p>
      <w:pPr>
        <w:numPr>
          <w:ilvl w:val="0"/>
          <w:numId w:val="16"/>
        </w:numPr>
        <w:spacing w:line="360" w:before="105" w:after="105" w:lineRule="auto"/>
      </w:pPr>
      <w:r>
        <w:rPr>
          <w:rFonts w:eastAsia="inter" w:cs="inter" w:ascii="inter" w:hAnsi="inter"/>
          <w:color w:val="000000"/>
          <w:sz w:val="21"/>
        </w:rPr>
        <w:t xml:space="preserve">The Ishtar Gate and its associated processional walls use molded glazed bricks to create repeating </w:t>
      </w:r>
      <w:r>
        <w:rPr>
          <w:rFonts w:eastAsia="inter" w:cs="inter" w:ascii="inter" w:hAnsi="inter"/>
          <w:b/>
          <w:color w:val="000000"/>
          <w:sz w:val="21"/>
        </w:rPr>
        <w:t xml:space="preserve">rosette</w:t>
      </w:r>
      <w:r>
        <w:rPr>
          <w:rFonts w:eastAsia="inter" w:cs="inter" w:ascii="inter" w:hAnsi="inter"/>
          <w:color w:val="000000"/>
          <w:sz w:val="21"/>
        </w:rPr>
        <w:t xml:space="preserve"> bands, </w:t>
      </w:r>
      <w:r>
        <w:rPr>
          <w:rFonts w:eastAsia="inter" w:cs="inter" w:ascii="inter" w:hAnsi="inter"/>
          <w:b/>
          <w:color w:val="000000"/>
          <w:sz w:val="21"/>
        </w:rPr>
        <w:t xml:space="preserve">linear borders</w:t>
      </w:r>
      <w:r>
        <w:rPr>
          <w:rFonts w:eastAsia="inter" w:cs="inter" w:ascii="inter" w:hAnsi="inter"/>
          <w:color w:val="000000"/>
          <w:sz w:val="21"/>
        </w:rPr>
        <w:t xml:space="preserve">, and measured rows of animals.</w:t>
      </w:r>
      <w:bookmarkStart w:id="136" w:name="fnref99"/>
      <w:bookmarkEnd w:id="136"/>
      <w:hyperlink w:anchor="fn99">
        <w:r>
          <w:rPr>
            <w:rFonts w:eastAsia="inter" w:cs="inter" w:ascii="inter" w:hAnsi="inter"/>
            <w:color w:val="#000"/>
            <w:sz w:val="21"/>
            <w:u w:val="single"/>
            <w:vertAlign w:val="superscript"/>
          </w:rPr>
          <w:t xml:space="preserve">[99]</w:t>
        </w:r>
      </w:hyperlink>
      <w:bookmarkStart w:id="137" w:name="fnref100"/>
      <w:bookmarkEnd w:id="137"/>
      <w:hyperlink w:anchor="fn100">
        <w:r>
          <w:rPr>
            <w:rFonts w:eastAsia="inter" w:cs="inter" w:ascii="inter" w:hAnsi="inter"/>
            <w:color w:val="#000"/>
            <w:sz w:val="21"/>
            <w:u w:val="single"/>
            <w:vertAlign w:val="superscript"/>
          </w:rPr>
          <w:t xml:space="preserve">[100]</w:t>
        </w:r>
      </w:hyperlink>
      <w:bookmarkStart w:id="138" w:name="fnref101"/>
      <w:bookmarkEnd w:id="138"/>
      <w:hyperlink w:anchor="fn101">
        <w:r>
          <w:rPr>
            <w:rFonts w:eastAsia="inter" w:cs="inter" w:ascii="inter" w:hAnsi="inter"/>
            <w:color w:val="#000"/>
            <w:sz w:val="21"/>
            <w:u w:val="single"/>
            <w:vertAlign w:val="superscript"/>
          </w:rPr>
          <w:t xml:space="preserve">[101]</w:t>
        </w:r>
      </w:hyperlink>
    </w:p>
    <w:p>
      <w:pPr>
        <w:numPr>
          <w:ilvl w:val="0"/>
          <w:numId w:val="16"/>
        </w:numPr>
        <w:spacing w:line="360" w:before="105" w:after="105" w:lineRule="auto"/>
      </w:pPr>
      <w:r>
        <w:rPr>
          <w:rFonts w:eastAsia="inter" w:cs="inter" w:ascii="inter" w:hAnsi="inter"/>
          <w:color w:val="000000"/>
          <w:sz w:val="21"/>
        </w:rPr>
        <w:t xml:space="preserve">Key motifs:</w:t>
      </w:r>
    </w:p>
    <w:p>
      <w:pPr>
        <w:numPr>
          <w:ilvl w:val="1"/>
          <w:numId w:val="16"/>
        </w:numPr>
        <w:spacing w:line="360" w:before="105" w:after="105" w:lineRule="auto"/>
      </w:pPr>
      <w:r>
        <w:rPr>
          <w:rFonts w:eastAsia="inter" w:cs="inter" w:ascii="inter" w:hAnsi="inter"/>
          <w:b/>
          <w:color w:val="000000"/>
          <w:sz w:val="21"/>
        </w:rPr>
        <w:t xml:space="preserve">Rosettes</w:t>
      </w:r>
      <w:r>
        <w:rPr>
          <w:rFonts w:eastAsia="inter" w:cs="inter" w:ascii="inter" w:hAnsi="inter"/>
          <w:color w:val="000000"/>
          <w:sz w:val="21"/>
        </w:rPr>
        <w:t xml:space="preserve">: round, stylized flowers (often 8‑petaled) set at regular intervals in horizontal bands, acting as fertility and Ishtar symbols while forming a strict radial geometric unit repeated across the wall.</w:t>
      </w:r>
      <w:bookmarkStart w:id="139" w:name="fnref102"/>
      <w:bookmarkEnd w:id="139"/>
      <w:hyperlink w:anchor="fn102">
        <w:r>
          <w:rPr>
            <w:rFonts w:eastAsia="inter" w:cs="inter" w:ascii="inter" w:hAnsi="inter"/>
            <w:color w:val="#000"/>
            <w:sz w:val="21"/>
            <w:u w:val="single"/>
            <w:vertAlign w:val="superscript"/>
          </w:rPr>
          <w:t xml:space="preserve">[102]</w:t>
        </w:r>
      </w:hyperlink>
      <w:bookmarkStart w:id="140" w:name="fnref103"/>
      <w:bookmarkEnd w:id="140"/>
      <w:hyperlink w:anchor="fn103">
        <w:r>
          <w:rPr>
            <w:rFonts w:eastAsia="inter" w:cs="inter" w:ascii="inter" w:hAnsi="inter"/>
            <w:color w:val="#000"/>
            <w:sz w:val="21"/>
            <w:u w:val="single"/>
            <w:vertAlign w:val="superscript"/>
          </w:rPr>
          <w:t xml:space="preserve">[103]</w:t>
        </w:r>
      </w:hyperlink>
      <w:bookmarkStart w:id="141" w:name="fnref99_1"/>
      <w:bookmarkEnd w:id="141"/>
      <w:hyperlink w:anchor="fn99">
        <w:r>
          <w:rPr>
            <w:rFonts w:eastAsia="inter" w:cs="inter" w:ascii="inter" w:hAnsi="inter"/>
            <w:color w:val="#000"/>
            <w:sz w:val="21"/>
            <w:u w:val="single"/>
            <w:vertAlign w:val="superscript"/>
          </w:rPr>
          <w:t xml:space="preserve">[99]</w:t>
        </w:r>
      </w:hyperlink>
    </w:p>
    <w:p>
      <w:pPr>
        <w:numPr>
          <w:ilvl w:val="1"/>
          <w:numId w:val="16"/>
        </w:numPr>
        <w:spacing w:line="360" w:before="105" w:after="105" w:lineRule="auto"/>
      </w:pPr>
      <w:r>
        <w:rPr>
          <w:rFonts w:eastAsia="inter" w:cs="inter" w:ascii="inter" w:hAnsi="inter"/>
          <w:b/>
          <w:color w:val="000000"/>
          <w:sz w:val="21"/>
        </w:rPr>
        <w:t xml:space="preserve">Strip borders</w:t>
      </w:r>
      <w:r>
        <w:rPr>
          <w:rFonts w:eastAsia="inter" w:cs="inter" w:ascii="inter" w:hAnsi="inter"/>
          <w:color w:val="000000"/>
          <w:sz w:val="21"/>
        </w:rPr>
        <w:t xml:space="preserve"> framing panels and animals—straight bands, stepped edges, and double lines that divide the façade into geometric zones at fixed heights.</w:t>
      </w:r>
      <w:bookmarkStart w:id="142" w:name="fnref100_1"/>
      <w:bookmarkEnd w:id="142"/>
      <w:hyperlink w:anchor="fn100">
        <w:r>
          <w:rPr>
            <w:rFonts w:eastAsia="inter" w:cs="inter" w:ascii="inter" w:hAnsi="inter"/>
            <w:color w:val="#000"/>
            <w:sz w:val="21"/>
            <w:u w:val="single"/>
            <w:vertAlign w:val="superscript"/>
          </w:rPr>
          <w:t xml:space="preserve">[100]</w:t>
        </w:r>
      </w:hyperlink>
      <w:bookmarkStart w:id="143" w:name="fnref101_1"/>
      <w:bookmarkEnd w:id="143"/>
      <w:hyperlink w:anchor="fn101">
        <w:r>
          <w:rPr>
            <w:rFonts w:eastAsia="inter" w:cs="inter" w:ascii="inter" w:hAnsi="inter"/>
            <w:color w:val="#000"/>
            <w:sz w:val="21"/>
            <w:u w:val="single"/>
            <w:vertAlign w:val="superscript"/>
          </w:rPr>
          <w:t xml:space="preserve">[101]</w:t>
        </w:r>
      </w:hyperlink>
      <w:bookmarkStart w:id="144" w:name="fnref99_2"/>
      <w:bookmarkEnd w:id="144"/>
      <w:hyperlink w:anchor="fn99">
        <w:r>
          <w:rPr>
            <w:rFonts w:eastAsia="inter" w:cs="inter" w:ascii="inter" w:hAnsi="inter"/>
            <w:color w:val="#000"/>
            <w:sz w:val="21"/>
            <w:u w:val="single"/>
            <w:vertAlign w:val="superscript"/>
          </w:rPr>
          <w:t xml:space="preserve">[99]</w:t>
        </w:r>
      </w:hyperlink>
    </w:p>
    <w:p>
      <w:pPr>
        <w:numPr>
          <w:ilvl w:val="1"/>
          <w:numId w:val="16"/>
        </w:numPr>
        <w:spacing w:line="360" w:before="105" w:after="105" w:lineRule="auto"/>
      </w:pPr>
      <w:r>
        <w:rPr>
          <w:rFonts w:eastAsia="inter" w:cs="inter" w:ascii="inter" w:hAnsi="inter"/>
          <w:b/>
          <w:color w:val="000000"/>
          <w:sz w:val="21"/>
        </w:rPr>
        <w:t xml:space="preserve">Gridded animal placement</w:t>
      </w:r>
      <w:r>
        <w:rPr>
          <w:rFonts w:eastAsia="inter" w:cs="inter" w:ascii="inter" w:hAnsi="inter"/>
          <w:color w:val="000000"/>
          <w:sz w:val="21"/>
        </w:rPr>
        <w:t xml:space="preserve">: lions, bulls, and mušḫuššu dragons are placed in even horizontal rows and vertical alignments, so that each figure occupies a measured “cell” in an invisible grid.</w:t>
      </w:r>
      <w:bookmarkStart w:id="145" w:name="fnref104"/>
      <w:bookmarkEnd w:id="145"/>
      <w:hyperlink w:anchor="fn104">
        <w:r>
          <w:rPr>
            <w:rFonts w:eastAsia="inter" w:cs="inter" w:ascii="inter" w:hAnsi="inter"/>
            <w:color w:val="#000"/>
            <w:sz w:val="21"/>
            <w:u w:val="single"/>
            <w:vertAlign w:val="superscript"/>
          </w:rPr>
          <w:t xml:space="preserve">[104]</w:t>
        </w:r>
      </w:hyperlink>
      <w:bookmarkStart w:id="146" w:name="fnref99_3"/>
      <w:bookmarkEnd w:id="146"/>
      <w:hyperlink w:anchor="fn99">
        <w:r>
          <w:rPr>
            <w:rFonts w:eastAsia="inter" w:cs="inter" w:ascii="inter" w:hAnsi="inter"/>
            <w:color w:val="#000"/>
            <w:sz w:val="21"/>
            <w:u w:val="single"/>
            <w:vertAlign w:val="superscript"/>
          </w:rPr>
          <w:t xml:space="preserve">[99]</w:t>
        </w:r>
      </w:hyperlink>
      <w:bookmarkStart w:id="147" w:name="fnref100_2"/>
      <w:bookmarkEnd w:id="147"/>
      <w:hyperlink w:anchor="fn100">
        <w:r>
          <w:rPr>
            <w:rFonts w:eastAsia="inter" w:cs="inter" w:ascii="inter" w:hAnsi="inter"/>
            <w:color w:val="#000"/>
            <w:sz w:val="21"/>
            <w:u w:val="single"/>
            <w:vertAlign w:val="superscript"/>
          </w:rPr>
          <w:t xml:space="preserve">[100]</w:t>
        </w:r>
      </w:hyperlink>
    </w:p>
    <w:p>
      <w:pPr>
        <w:spacing w:line="360" w:before="315" w:after="105" w:lineRule="auto"/>
        <w:ind w:left="-30"/>
        <w:jc w:val="left"/>
      </w:pPr>
      <w:bookmarkStart w:id="148" w:name="ziggurat_façades_steps_panels_and_bands"/>
      <w:r>
        <w:rPr>
          <w:rFonts w:eastAsia="inter" w:cs="inter" w:ascii="inter" w:hAnsi="inter"/>
          <w:b/>
          <w:color w:val="000000"/>
          <w:sz w:val="24"/>
        </w:rPr>
        <w:t xml:space="preserve">Ziggurat façades: steps, panels, and bands</w:t>
      </w:r>
      <w:bookmarkEnd w:id="148"/>
    </w:p>
    <w:p>
      <w:pPr>
        <w:numPr>
          <w:ilvl w:val="0"/>
          <w:numId w:val="17"/>
        </w:numPr>
        <w:spacing w:line="360" w:before="105" w:after="105" w:lineRule="auto"/>
      </w:pPr>
      <w:r>
        <w:rPr>
          <w:rFonts w:eastAsia="inter" w:cs="inter" w:ascii="inter" w:hAnsi="inter"/>
          <w:color w:val="000000"/>
          <w:sz w:val="21"/>
        </w:rPr>
        <w:t xml:space="preserve">Classical ziggurats use </w:t>
      </w:r>
      <w:r>
        <w:rPr>
          <w:rFonts w:eastAsia="inter" w:cs="inter" w:ascii="inter" w:hAnsi="inter"/>
          <w:b/>
          <w:color w:val="000000"/>
          <w:sz w:val="21"/>
        </w:rPr>
        <w:t xml:space="preserve">stepped stages</w:t>
      </w:r>
      <w:r>
        <w:rPr>
          <w:rFonts w:eastAsia="inter" w:cs="inter" w:ascii="inter" w:hAnsi="inter"/>
          <w:color w:val="000000"/>
          <w:sz w:val="21"/>
        </w:rPr>
        <w:t xml:space="preserve">—stacked rectangular platforms—which generate strong horizontal bands and vertical risers visible on all sides.</w:t>
      </w:r>
      <w:bookmarkStart w:id="149" w:name="fnref89_2"/>
      <w:bookmarkEnd w:id="149"/>
      <w:hyperlink w:anchor="fn89">
        <w:r>
          <w:rPr>
            <w:rFonts w:eastAsia="inter" w:cs="inter" w:ascii="inter" w:hAnsi="inter"/>
            <w:color w:val="#000"/>
            <w:sz w:val="21"/>
            <w:u w:val="single"/>
            <w:vertAlign w:val="superscript"/>
          </w:rPr>
          <w:t xml:space="preserve">[89]</w:t>
        </w:r>
      </w:hyperlink>
      <w:bookmarkStart w:id="150" w:name="fnref105"/>
      <w:bookmarkEnd w:id="150"/>
      <w:hyperlink w:anchor="fn105">
        <w:r>
          <w:rPr>
            <w:rFonts w:eastAsia="inter" w:cs="inter" w:ascii="inter" w:hAnsi="inter"/>
            <w:color w:val="#000"/>
            <w:sz w:val="21"/>
            <w:u w:val="single"/>
            <w:vertAlign w:val="superscript"/>
          </w:rPr>
          <w:t xml:space="preserve">[105]</w:t>
        </w:r>
      </w:hyperlink>
      <w:bookmarkStart w:id="151" w:name="fnref106"/>
      <w:bookmarkEnd w:id="151"/>
      <w:hyperlink w:anchor="fn106">
        <w:r>
          <w:rPr>
            <w:rFonts w:eastAsia="inter" w:cs="inter" w:ascii="inter" w:hAnsi="inter"/>
            <w:color w:val="#000"/>
            <w:sz w:val="21"/>
            <w:u w:val="single"/>
            <w:vertAlign w:val="superscript"/>
          </w:rPr>
          <w:t xml:space="preserve">[106]</w:t>
        </w:r>
      </w:hyperlink>
    </w:p>
    <w:p>
      <w:pPr>
        <w:numPr>
          <w:ilvl w:val="0"/>
          <w:numId w:val="17"/>
        </w:numPr>
        <w:spacing w:line="360" w:before="105" w:after="105" w:lineRule="auto"/>
      </w:pPr>
      <w:r>
        <w:rPr>
          <w:rFonts w:eastAsia="inter" w:cs="inter" w:ascii="inter" w:hAnsi="inter"/>
          <w:color w:val="000000"/>
          <w:sz w:val="21"/>
        </w:rPr>
        <w:t xml:space="preserve">Their brick sheathing often emphasizes:</w:t>
      </w:r>
    </w:p>
    <w:p>
      <w:pPr>
        <w:numPr>
          <w:ilvl w:val="1"/>
          <w:numId w:val="17"/>
        </w:numPr>
        <w:spacing w:line="360" w:before="105" w:after="105" w:lineRule="auto"/>
      </w:pPr>
      <w:r>
        <w:rPr>
          <w:rFonts w:eastAsia="inter" w:cs="inter" w:ascii="inter" w:hAnsi="inter"/>
          <w:color w:val="000000"/>
          <w:sz w:val="21"/>
        </w:rPr>
        <w:t xml:space="preserve">Regular </w:t>
      </w:r>
      <w:r>
        <w:rPr>
          <w:rFonts w:eastAsia="inter" w:cs="inter" w:ascii="inter" w:hAnsi="inter"/>
          <w:b/>
          <w:color w:val="000000"/>
          <w:sz w:val="21"/>
        </w:rPr>
        <w:t xml:space="preserve">course lines</w:t>
      </w:r>
      <w:r>
        <w:rPr>
          <w:rFonts w:eastAsia="inter" w:cs="inter" w:ascii="inter" w:hAnsi="inter"/>
          <w:color w:val="000000"/>
          <w:sz w:val="21"/>
        </w:rPr>
        <w:t xml:space="preserve"> (horizontal brick bands)</w:t>
      </w:r>
    </w:p>
    <w:p>
      <w:pPr>
        <w:numPr>
          <w:ilvl w:val="1"/>
          <w:numId w:val="17"/>
        </w:numPr>
        <w:spacing w:line="360" w:before="105" w:after="105" w:lineRule="auto"/>
      </w:pPr>
      <w:r>
        <w:rPr>
          <w:rFonts w:eastAsia="inter" w:cs="inter" w:ascii="inter" w:hAnsi="inter"/>
          <w:color w:val="000000"/>
          <w:sz w:val="21"/>
        </w:rPr>
        <w:t xml:space="preserve">Repeating </w:t>
      </w:r>
      <w:r>
        <w:rPr>
          <w:rFonts w:eastAsia="inter" w:cs="inter" w:ascii="inter" w:hAnsi="inter"/>
          <w:b/>
          <w:color w:val="000000"/>
          <w:sz w:val="21"/>
        </w:rPr>
        <w:t xml:space="preserve">paneling</w:t>
      </w:r>
      <w:r>
        <w:rPr>
          <w:rFonts w:eastAsia="inter" w:cs="inter" w:ascii="inter" w:hAnsi="inter"/>
          <w:color w:val="000000"/>
          <w:sz w:val="21"/>
        </w:rPr>
        <w:t xml:space="preserve"> or light buttressing that echoes the palace-façade motif on the tower’s base and upper stories</w:t>
      </w:r>
      <w:bookmarkStart w:id="152" w:name="fnref95_2"/>
      <w:bookmarkEnd w:id="152"/>
      <w:hyperlink w:anchor="fn95">
        <w:r>
          <w:rPr>
            <w:rFonts w:eastAsia="inter" w:cs="inter" w:ascii="inter" w:hAnsi="inter"/>
            <w:color w:val="#000"/>
            <w:sz w:val="21"/>
            <w:u w:val="single"/>
            <w:vertAlign w:val="superscript"/>
          </w:rPr>
          <w:t xml:space="preserve">[95]</w:t>
        </w:r>
      </w:hyperlink>
      <w:bookmarkStart w:id="153" w:name="fnref98_1"/>
      <w:bookmarkEnd w:id="153"/>
      <w:hyperlink w:anchor="fn98">
        <w:r>
          <w:rPr>
            <w:rFonts w:eastAsia="inter" w:cs="inter" w:ascii="inter" w:hAnsi="inter"/>
            <w:color w:val="#000"/>
            <w:sz w:val="21"/>
            <w:u w:val="single"/>
            <w:vertAlign w:val="superscript"/>
          </w:rPr>
          <w:t xml:space="preserve">[98]</w:t>
        </w:r>
      </w:hyperlink>
      <w:bookmarkStart w:id="154" w:name="fnref89_3"/>
      <w:bookmarkEnd w:id="154"/>
      <w:hyperlink w:anchor="fn89">
        <w:r>
          <w:rPr>
            <w:rFonts w:eastAsia="inter" w:cs="inter" w:ascii="inter" w:hAnsi="inter"/>
            <w:color w:val="#000"/>
            <w:sz w:val="21"/>
            <w:u w:val="single"/>
            <w:vertAlign w:val="superscript"/>
          </w:rPr>
          <w:t xml:space="preserve">[89]</w:t>
        </w:r>
      </w:hyperlink>
    </w:p>
    <w:p>
      <w:pPr>
        <w:spacing w:line="360" w:before="315" w:after="105" w:lineRule="auto"/>
        <w:ind w:left="-30"/>
        <w:jc w:val="left"/>
      </w:pPr>
      <w:bookmarkStart w:id="155" w:name="other_recurring_geometric_surface_motifs"/>
      <w:r>
        <w:rPr>
          <w:rFonts w:eastAsia="inter" w:cs="inter" w:ascii="inter" w:hAnsi="inter"/>
          <w:b/>
          <w:color w:val="000000"/>
          <w:sz w:val="24"/>
        </w:rPr>
        <w:t xml:space="preserve">Other recurring geometric surface motifs</w:t>
      </w:r>
      <w:bookmarkEnd w:id="155"/>
    </w:p>
    <w:p>
      <w:pPr>
        <w:numPr>
          <w:ilvl w:val="0"/>
          <w:numId w:val="18"/>
        </w:numPr>
        <w:spacing w:line="360" w:before="105" w:after="105" w:lineRule="auto"/>
      </w:pPr>
      <w:r>
        <w:rPr>
          <w:rFonts w:eastAsia="inter" w:cs="inter" w:ascii="inter" w:hAnsi="inter"/>
          <w:color w:val="000000"/>
          <w:sz w:val="21"/>
        </w:rPr>
        <w:t xml:space="preserve">Sculpted and painted temple or palace walls can include small-scale </w:t>
      </w:r>
      <w:r>
        <w:rPr>
          <w:rFonts w:eastAsia="inter" w:cs="inter" w:ascii="inter" w:hAnsi="inter"/>
          <w:b/>
          <w:color w:val="000000"/>
          <w:sz w:val="21"/>
        </w:rPr>
        <w:t xml:space="preserve">spirals, leaf-scrolls, cone and grape clusters, and simple chevron borders</w:t>
      </w:r>
      <w:r>
        <w:rPr>
          <w:rFonts w:eastAsia="inter" w:cs="inter" w:ascii="inter" w:hAnsi="inter"/>
          <w:color w:val="000000"/>
          <w:sz w:val="21"/>
        </w:rPr>
        <w:t xml:space="preserve">, usually as fillers in friezes or around doorways, all arranged in tightly controlled, repeating units.</w:t>
      </w:r>
      <w:bookmarkStart w:id="156" w:name="fnref104_1"/>
      <w:bookmarkEnd w:id="156"/>
      <w:hyperlink w:anchor="fn104">
        <w:r>
          <w:rPr>
            <w:rFonts w:eastAsia="inter" w:cs="inter" w:ascii="inter" w:hAnsi="inter"/>
            <w:color w:val="#000"/>
            <w:sz w:val="21"/>
            <w:u w:val="single"/>
            <w:vertAlign w:val="superscript"/>
          </w:rPr>
          <w:t xml:space="preserve">[104]</w:t>
        </w:r>
      </w:hyperlink>
      <w:bookmarkStart w:id="157" w:name="fnref95_3"/>
      <w:bookmarkEnd w:id="157"/>
      <w:hyperlink w:anchor="fn95">
        <w:r>
          <w:rPr>
            <w:rFonts w:eastAsia="inter" w:cs="inter" w:ascii="inter" w:hAnsi="inter"/>
            <w:color w:val="#000"/>
            <w:sz w:val="21"/>
            <w:u w:val="single"/>
            <w:vertAlign w:val="superscript"/>
          </w:rPr>
          <w:t xml:space="preserve">[95]</w:t>
        </w:r>
      </w:hyperlink>
    </w:p>
    <w:p>
      <w:pPr>
        <w:numPr>
          <w:ilvl w:val="0"/>
          <w:numId w:val="18"/>
        </w:numPr>
        <w:spacing w:line="360" w:before="105" w:after="105" w:lineRule="auto"/>
      </w:pPr>
      <w:r>
        <w:rPr>
          <w:rFonts w:eastAsia="inter" w:cs="inter" w:ascii="inter" w:hAnsi="inter"/>
          <w:color w:val="000000"/>
          <w:sz w:val="21"/>
        </w:rPr>
        <w:t xml:space="preserve">Across media (cone, brick, plaster), the key façade motifs are thus:</w:t>
      </w:r>
    </w:p>
    <w:p>
      <w:pPr>
        <w:numPr>
          <w:ilvl w:val="1"/>
          <w:numId w:val="18"/>
        </w:numPr>
        <w:spacing w:line="360" w:before="105" w:after="105" w:lineRule="auto"/>
      </w:pPr>
      <w:r>
        <w:rPr>
          <w:rFonts w:eastAsia="inter" w:cs="inter" w:ascii="inter" w:hAnsi="inter"/>
          <w:b/>
          <w:color w:val="000000"/>
          <w:sz w:val="21"/>
        </w:rPr>
        <w:t xml:space="preserve">Triangles and zigzags</w:t>
      </w:r>
    </w:p>
    <w:p>
      <w:pPr>
        <w:numPr>
          <w:ilvl w:val="1"/>
          <w:numId w:val="18"/>
        </w:numPr>
        <w:spacing w:line="360" w:before="105" w:after="105" w:lineRule="auto"/>
      </w:pPr>
      <w:r>
        <w:rPr>
          <w:rFonts w:eastAsia="inter" w:cs="inter" w:ascii="inter" w:hAnsi="inter"/>
          <w:b/>
          <w:color w:val="000000"/>
          <w:sz w:val="21"/>
        </w:rPr>
        <w:t xml:space="preserve">Diamonds/lozenges and checkerboards</w:t>
      </w:r>
    </w:p>
    <w:p>
      <w:pPr>
        <w:numPr>
          <w:ilvl w:val="1"/>
          <w:numId w:val="18"/>
        </w:numPr>
        <w:spacing w:line="360" w:before="105" w:after="105" w:lineRule="auto"/>
      </w:pPr>
      <w:r>
        <w:rPr>
          <w:rFonts w:eastAsia="inter" w:cs="inter" w:ascii="inter" w:hAnsi="inter"/>
          <w:b/>
          <w:color w:val="000000"/>
          <w:sz w:val="21"/>
        </w:rPr>
        <w:t xml:space="preserve">Rectangular niche/buttress paneling</w:t>
      </w:r>
    </w:p>
    <w:p>
      <w:pPr>
        <w:numPr>
          <w:ilvl w:val="1"/>
          <w:numId w:val="18"/>
        </w:numPr>
        <w:spacing w:line="360" w:before="105" w:after="105" w:lineRule="auto"/>
      </w:pPr>
      <w:r>
        <w:rPr>
          <w:rFonts w:eastAsia="inter" w:cs="inter" w:ascii="inter" w:hAnsi="inter"/>
          <w:b/>
          <w:color w:val="000000"/>
          <w:sz w:val="21"/>
        </w:rPr>
        <w:t xml:space="preserve">Radial rosettes and linear framing bands</w:t>
      </w:r>
      <w:bookmarkStart w:id="158" w:name="fnref93_1"/>
      <w:bookmarkEnd w:id="158"/>
      <w:hyperlink w:anchor="fn93">
        <w:r>
          <w:rPr>
            <w:rFonts w:eastAsia="inter" w:cs="inter" w:ascii="inter" w:hAnsi="inter"/>
            <w:color w:val="#000"/>
            <w:sz w:val="21"/>
            <w:u w:val="single"/>
            <w:vertAlign w:val="superscript"/>
          </w:rPr>
          <w:t xml:space="preserve">[93]</w:t>
        </w:r>
      </w:hyperlink>
      <w:bookmarkStart w:id="159" w:name="fnref91_2"/>
      <w:bookmarkEnd w:id="159"/>
      <w:hyperlink w:anchor="fn91">
        <w:r>
          <w:rPr>
            <w:rFonts w:eastAsia="inter" w:cs="inter" w:ascii="inter" w:hAnsi="inter"/>
            <w:color w:val="#000"/>
            <w:sz w:val="21"/>
            <w:u w:val="single"/>
            <w:vertAlign w:val="superscript"/>
          </w:rPr>
          <w:t xml:space="preserve">[91]</w:t>
        </w:r>
      </w:hyperlink>
      <w:bookmarkStart w:id="160" w:name="fnref89_4"/>
      <w:bookmarkEnd w:id="160"/>
      <w:hyperlink w:anchor="fn89">
        <w:r>
          <w:rPr>
            <w:rFonts w:eastAsia="inter" w:cs="inter" w:ascii="inter" w:hAnsi="inter"/>
            <w:color w:val="#000"/>
            <w:sz w:val="21"/>
            <w:u w:val="single"/>
            <w:vertAlign w:val="superscript"/>
          </w:rPr>
          <w:t xml:space="preserve">[89]</w:t>
        </w:r>
      </w:hyperlink>
      <w:bookmarkStart w:id="161" w:name="fnref95_4"/>
      <w:bookmarkEnd w:id="161"/>
      <w:hyperlink w:anchor="fn95">
        <w:r>
          <w:rPr>
            <w:rFonts w:eastAsia="inter" w:cs="inter" w:ascii="inter" w:hAnsi="inter"/>
            <w:color w:val="#000"/>
            <w:sz w:val="21"/>
            <w:u w:val="single"/>
            <w:vertAlign w:val="superscript"/>
          </w:rPr>
          <w:t xml:space="preserve">[95]</w:t>
        </w:r>
      </w:hyperlink>
      <w:r>
        <w:rPr>
          <w:rFonts w:eastAsia="inter" w:cs="inter" w:ascii="inter" w:hAnsi="inter"/>
          <w:color w:val="000000"/>
          <w:sz w:val="21"/>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2" w:name="symbolic_meanings_ofdiamonds_loze_371ea8"/>
      <w:r>
        <w:rPr>
          <w:rFonts w:eastAsia="inter" w:cs="inter" w:ascii="inter" w:hAnsi="inter"/>
          <w:b/>
          <w:color w:val="000000"/>
          <w:sz w:val="39"/>
        </w:rPr>
        <w:t xml:space="preserve">Symbolic meanings ofDiamonds (lozenges, rhombuses)</w:t>
      </w:r>
      <w:bookmarkEnd w:id="162"/>
    </w:p>
    <w:p>
      <w:pPr>
        <w:spacing w:line="360" w:after="210" w:lineRule="auto"/>
      </w:pPr>
      <w:r>
        <w:rPr>
          <w:rFonts w:eastAsia="inter" w:cs="inter" w:ascii="inter" w:hAnsi="inter"/>
          <w:color w:val="000000"/>
        </w:rPr>
        <w:t xml:space="preserve">Across many ancient cultures—including Mesopotamia—the diamond/lozenge/rhombus is not just “a pretty pattern” but a compact symbol tied to fertility, protection, and ordered space.</w:t>
      </w:r>
      <w:bookmarkStart w:id="163" w:name="fnref111"/>
      <w:bookmarkEnd w:id="163"/>
      <w:hyperlink w:anchor="fn111">
        <w:r>
          <w:rPr>
            <w:rFonts w:eastAsia="inter" w:cs="inter" w:ascii="inter" w:hAnsi="inter"/>
            <w:color w:val="#000"/>
            <w:u w:val="single"/>
            <w:vertAlign w:val="superscript"/>
          </w:rPr>
          <w:t xml:space="preserve">[111]</w:t>
        </w:r>
      </w:hyperlink>
      <w:bookmarkStart w:id="164" w:name="fnref112"/>
      <w:bookmarkEnd w:id="164"/>
      <w:hyperlink w:anchor="fn112">
        <w:r>
          <w:rPr>
            <w:rFonts w:eastAsia="inter" w:cs="inter" w:ascii="inter" w:hAnsi="inter"/>
            <w:color w:val="#000"/>
            <w:u w:val="single"/>
            <w:vertAlign w:val="superscript"/>
          </w:rPr>
          <w:t xml:space="preserve">[112]</w:t>
        </w:r>
      </w:hyperlink>
    </w:p>
    <w:p>
      <w:pPr>
        <w:spacing w:line="360" w:before="315" w:after="105" w:lineRule="auto"/>
        <w:ind w:left="-30"/>
        <w:jc w:val="left"/>
      </w:pPr>
      <w:bookmarkStart w:id="165" w:name="fertility_fields_and_the_female_body"/>
      <w:r>
        <w:rPr>
          <w:rFonts w:eastAsia="inter" w:cs="inter" w:ascii="inter" w:hAnsi="inter"/>
          <w:b/>
          <w:color w:val="000000"/>
          <w:sz w:val="24"/>
        </w:rPr>
        <w:t xml:space="preserve">Fertility, fields, and the female body</w:t>
      </w:r>
      <w:bookmarkEnd w:id="165"/>
    </w:p>
    <w:p>
      <w:pPr>
        <w:numPr>
          <w:ilvl w:val="0"/>
          <w:numId w:val="19"/>
        </w:numPr>
        <w:spacing w:line="360" w:before="105" w:after="105" w:lineRule="auto"/>
      </w:pPr>
      <w:r>
        <w:rPr>
          <w:rFonts w:eastAsia="inter" w:cs="inter" w:ascii="inter" w:hAnsi="inter"/>
          <w:color w:val="000000"/>
          <w:sz w:val="21"/>
        </w:rPr>
        <w:t xml:space="preserve">In wider ancient Eurasian tradition, the lozenge is very often interpreted as a stylized </w:t>
      </w:r>
      <w:r>
        <w:rPr>
          <w:rFonts w:eastAsia="inter" w:cs="inter" w:ascii="inter" w:hAnsi="inter"/>
          <w:b/>
          <w:color w:val="000000"/>
          <w:sz w:val="21"/>
        </w:rPr>
        <w:t xml:space="preserve">sown field</w:t>
      </w:r>
      <w:r>
        <w:rPr>
          <w:rFonts w:eastAsia="inter" w:cs="inter" w:ascii="inter" w:hAnsi="inter"/>
          <w:color w:val="000000"/>
          <w:sz w:val="21"/>
        </w:rPr>
        <w:t xml:space="preserve"> and, by extension, as a symbol of </w:t>
      </w:r>
      <w:r>
        <w:rPr>
          <w:rFonts w:eastAsia="inter" w:cs="inter" w:ascii="inter" w:hAnsi="inter"/>
          <w:b/>
          <w:color w:val="000000"/>
          <w:sz w:val="21"/>
        </w:rPr>
        <w:t xml:space="preserve">female fertility and generative power</w:t>
      </w:r>
      <w:r>
        <w:rPr>
          <w:rFonts w:eastAsia="inter" w:cs="inter" w:ascii="inter" w:hAnsi="inter"/>
          <w:color w:val="000000"/>
          <w:sz w:val="21"/>
        </w:rPr>
        <w:t xml:space="preserve">. The four pointed corners and enclosed interior suggest a bounded, prepared space that receives and nurtures life.</w:t>
      </w:r>
      <w:bookmarkStart w:id="166" w:name="fnref112_1"/>
      <w:bookmarkEnd w:id="166"/>
      <w:hyperlink w:anchor="fn112">
        <w:r>
          <w:rPr>
            <w:rFonts w:eastAsia="inter" w:cs="inter" w:ascii="inter" w:hAnsi="inter"/>
            <w:color w:val="#000"/>
            <w:sz w:val="21"/>
            <w:u w:val="single"/>
            <w:vertAlign w:val="superscript"/>
          </w:rPr>
          <w:t xml:space="preserve">[112]</w:t>
        </w:r>
      </w:hyperlink>
      <w:bookmarkStart w:id="167" w:name="fnref113"/>
      <w:bookmarkEnd w:id="167"/>
      <w:hyperlink w:anchor="fn113">
        <w:r>
          <w:rPr>
            <w:rFonts w:eastAsia="inter" w:cs="inter" w:ascii="inter" w:hAnsi="inter"/>
            <w:color w:val="#000"/>
            <w:sz w:val="21"/>
            <w:u w:val="single"/>
            <w:vertAlign w:val="superscript"/>
          </w:rPr>
          <w:t xml:space="preserve">[113]</w:t>
        </w:r>
      </w:hyperlink>
      <w:bookmarkStart w:id="168" w:name="fnref111_1"/>
      <w:bookmarkEnd w:id="168"/>
      <w:hyperlink w:anchor="fn111">
        <w:r>
          <w:rPr>
            <w:rFonts w:eastAsia="inter" w:cs="inter" w:ascii="inter" w:hAnsi="inter"/>
            <w:color w:val="#000"/>
            <w:sz w:val="21"/>
            <w:u w:val="single"/>
            <w:vertAlign w:val="superscript"/>
          </w:rPr>
          <w:t xml:space="preserve">[111]</w:t>
        </w:r>
      </w:hyperlink>
    </w:p>
    <w:p>
      <w:pPr>
        <w:numPr>
          <w:ilvl w:val="0"/>
          <w:numId w:val="19"/>
        </w:numPr>
        <w:spacing w:line="360" w:before="105" w:after="105" w:lineRule="auto"/>
      </w:pPr>
      <w:r>
        <w:rPr>
          <w:rFonts w:eastAsia="inter" w:cs="inter" w:ascii="inter" w:hAnsi="inter"/>
          <w:color w:val="000000"/>
          <w:sz w:val="21"/>
        </w:rPr>
        <w:t xml:space="preserve">Ethnographic and comparative work (for example on Berber textiles and other traditional arts) shows the lozenge as a persistent </w:t>
      </w:r>
      <w:r>
        <w:rPr>
          <w:rFonts w:eastAsia="inter" w:cs="inter" w:ascii="inter" w:hAnsi="inter"/>
          <w:b/>
          <w:color w:val="000000"/>
          <w:sz w:val="21"/>
        </w:rPr>
        <w:t xml:space="preserve">female sign</w:t>
      </w:r>
      <w:r>
        <w:rPr>
          <w:rFonts w:eastAsia="inter" w:cs="inter" w:ascii="inter" w:hAnsi="inter"/>
          <w:color w:val="000000"/>
          <w:sz w:val="21"/>
        </w:rPr>
        <w:t xml:space="preserve">—linked to womb, vulva, or the “fertile plot”—and this same semantic field likely informs Near Eastern uses where lozenges appear with other life and growth symbols.</w:t>
      </w:r>
      <w:bookmarkStart w:id="169" w:name="fnref114"/>
      <w:bookmarkEnd w:id="169"/>
      <w:hyperlink w:anchor="fn114">
        <w:r>
          <w:rPr>
            <w:rFonts w:eastAsia="inter" w:cs="inter" w:ascii="inter" w:hAnsi="inter"/>
            <w:color w:val="#000"/>
            <w:sz w:val="21"/>
            <w:u w:val="single"/>
            <w:vertAlign w:val="superscript"/>
          </w:rPr>
          <w:t xml:space="preserve">[114]</w:t>
        </w:r>
      </w:hyperlink>
      <w:bookmarkStart w:id="170" w:name="fnref111_2"/>
      <w:bookmarkEnd w:id="170"/>
      <w:hyperlink w:anchor="fn111">
        <w:r>
          <w:rPr>
            <w:rFonts w:eastAsia="inter" w:cs="inter" w:ascii="inter" w:hAnsi="inter"/>
            <w:color w:val="#000"/>
            <w:sz w:val="21"/>
            <w:u w:val="single"/>
            <w:vertAlign w:val="superscript"/>
          </w:rPr>
          <w:t xml:space="preserve">[111]</w:t>
        </w:r>
      </w:hyperlink>
      <w:bookmarkStart w:id="171" w:name="fnref112_2"/>
      <w:bookmarkEnd w:id="171"/>
      <w:hyperlink w:anchor="fn112">
        <w:r>
          <w:rPr>
            <w:rFonts w:eastAsia="inter" w:cs="inter" w:ascii="inter" w:hAnsi="inter"/>
            <w:color w:val="#000"/>
            <w:sz w:val="21"/>
            <w:u w:val="single"/>
            <w:vertAlign w:val="superscript"/>
          </w:rPr>
          <w:t xml:space="preserve">[112]</w:t>
        </w:r>
      </w:hyperlink>
    </w:p>
    <w:p>
      <w:pPr>
        <w:spacing w:line="360" w:before="315" w:after="105" w:lineRule="auto"/>
        <w:ind w:left="-30"/>
        <w:jc w:val="left"/>
      </w:pPr>
      <w:bookmarkStart w:id="172" w:name="eyes_protection_and_divine_watching"/>
      <w:r>
        <w:rPr>
          <w:rFonts w:eastAsia="inter" w:cs="inter" w:ascii="inter" w:hAnsi="inter"/>
          <w:b/>
          <w:color w:val="000000"/>
          <w:sz w:val="24"/>
        </w:rPr>
        <w:t xml:space="preserve">Eyes, protection, and divine watching</w:t>
      </w:r>
      <w:bookmarkEnd w:id="172"/>
    </w:p>
    <w:p>
      <w:pPr>
        <w:numPr>
          <w:ilvl w:val="0"/>
          <w:numId w:val="20"/>
        </w:numPr>
        <w:spacing w:line="360" w:before="105" w:after="105" w:lineRule="auto"/>
      </w:pPr>
      <w:r>
        <w:rPr>
          <w:rFonts w:eastAsia="inter" w:cs="inter" w:ascii="inter" w:hAnsi="inter"/>
          <w:color w:val="000000"/>
          <w:sz w:val="21"/>
        </w:rPr>
        <w:t xml:space="preserve">In ancient Mesopotamian glyptic (cylinder seals), scholars have noted that elongated rhombus or lozenge shapes can function as </w:t>
      </w:r>
      <w:r>
        <w:rPr>
          <w:rFonts w:eastAsia="inter" w:cs="inter" w:ascii="inter" w:hAnsi="inter"/>
          <w:b/>
          <w:color w:val="000000"/>
          <w:sz w:val="21"/>
        </w:rPr>
        <w:t xml:space="preserve">highly abstract eyes</w:t>
      </w:r>
      <w:r>
        <w:rPr>
          <w:rFonts w:eastAsia="inter" w:cs="inter" w:ascii="inter" w:hAnsi="inter"/>
          <w:color w:val="000000"/>
          <w:sz w:val="21"/>
        </w:rPr>
        <w:t xml:space="preserve">, sometimes with a central dot, arranged in rows or paired with “ladder” motifs. These are tied to the broader Mesopotamian idea that the eye mediates between human and divine, sees and wards off evil, and makes the presence of the gods visible.</w:t>
      </w:r>
      <w:bookmarkStart w:id="173" w:name="fnref115"/>
      <w:bookmarkEnd w:id="173"/>
      <w:hyperlink w:anchor="fn115">
        <w:r>
          <w:rPr>
            <w:rFonts w:eastAsia="inter" w:cs="inter" w:ascii="inter" w:hAnsi="inter"/>
            <w:color w:val="#000"/>
            <w:sz w:val="21"/>
            <w:u w:val="single"/>
            <w:vertAlign w:val="superscript"/>
          </w:rPr>
          <w:t xml:space="preserve">[115]</w:t>
        </w:r>
      </w:hyperlink>
      <w:bookmarkStart w:id="174" w:name="fnref116"/>
      <w:bookmarkEnd w:id="174"/>
      <w:hyperlink w:anchor="fn116">
        <w:r>
          <w:rPr>
            <w:rFonts w:eastAsia="inter" w:cs="inter" w:ascii="inter" w:hAnsi="inter"/>
            <w:color w:val="#000"/>
            <w:sz w:val="21"/>
            <w:u w:val="single"/>
            <w:vertAlign w:val="superscript"/>
          </w:rPr>
          <w:t xml:space="preserve">[116]</w:t>
        </w:r>
      </w:hyperlink>
      <w:bookmarkStart w:id="175" w:name="fnref114_1"/>
      <w:bookmarkEnd w:id="175"/>
      <w:hyperlink w:anchor="fn114">
        <w:r>
          <w:rPr>
            <w:rFonts w:eastAsia="inter" w:cs="inter" w:ascii="inter" w:hAnsi="inter"/>
            <w:color w:val="#000"/>
            <w:sz w:val="21"/>
            <w:u w:val="single"/>
            <w:vertAlign w:val="superscript"/>
          </w:rPr>
          <w:t xml:space="preserve">[114]</w:t>
        </w:r>
      </w:hyperlink>
    </w:p>
    <w:p>
      <w:pPr>
        <w:numPr>
          <w:ilvl w:val="0"/>
          <w:numId w:val="20"/>
        </w:numPr>
        <w:spacing w:line="360" w:before="105" w:after="105" w:lineRule="auto"/>
      </w:pPr>
      <w:r>
        <w:rPr>
          <w:rFonts w:eastAsia="inter" w:cs="inter" w:ascii="inter" w:hAnsi="inter"/>
          <w:color w:val="000000"/>
          <w:sz w:val="21"/>
        </w:rPr>
        <w:t xml:space="preserve">Because an eye wards off harm, lozenge‑as‑eye easily carries a </w:t>
      </w:r>
      <w:r>
        <w:rPr>
          <w:rFonts w:eastAsia="inter" w:cs="inter" w:ascii="inter" w:hAnsi="inter"/>
          <w:b/>
          <w:color w:val="000000"/>
          <w:sz w:val="21"/>
        </w:rPr>
        <w:t xml:space="preserve">protective/apotropaic</w:t>
      </w:r>
      <w:r>
        <w:rPr>
          <w:rFonts w:eastAsia="inter" w:cs="inter" w:ascii="inter" w:hAnsi="inter"/>
          <w:color w:val="000000"/>
          <w:sz w:val="21"/>
        </w:rPr>
        <w:t xml:space="preserve"> meaning: rows or fields of such forms on seals, inlays, or façade patterns can be read as a geometric guard against misfortune or malign forces.</w:t>
      </w:r>
      <w:bookmarkStart w:id="176" w:name="fnref117"/>
      <w:bookmarkEnd w:id="176"/>
      <w:hyperlink w:anchor="fn117">
        <w:r>
          <w:rPr>
            <w:rFonts w:eastAsia="inter" w:cs="inter" w:ascii="inter" w:hAnsi="inter"/>
            <w:color w:val="#000"/>
            <w:sz w:val="21"/>
            <w:u w:val="single"/>
            <w:vertAlign w:val="superscript"/>
          </w:rPr>
          <w:t xml:space="preserve">[117]</w:t>
        </w:r>
      </w:hyperlink>
      <w:bookmarkStart w:id="177" w:name="fnref115_1"/>
      <w:bookmarkEnd w:id="177"/>
      <w:hyperlink w:anchor="fn115">
        <w:r>
          <w:rPr>
            <w:rFonts w:eastAsia="inter" w:cs="inter" w:ascii="inter" w:hAnsi="inter"/>
            <w:color w:val="#000"/>
            <w:sz w:val="21"/>
            <w:u w:val="single"/>
            <w:vertAlign w:val="superscript"/>
          </w:rPr>
          <w:t xml:space="preserve">[115]</w:t>
        </w:r>
      </w:hyperlink>
      <w:bookmarkStart w:id="178" w:name="fnref114_2"/>
      <w:bookmarkEnd w:id="178"/>
      <w:hyperlink w:anchor="fn114">
        <w:r>
          <w:rPr>
            <w:rFonts w:eastAsia="inter" w:cs="inter" w:ascii="inter" w:hAnsi="inter"/>
            <w:color w:val="#000"/>
            <w:sz w:val="21"/>
            <w:u w:val="single"/>
            <w:vertAlign w:val="superscript"/>
          </w:rPr>
          <w:t xml:space="preserve">[114]</w:t>
        </w:r>
      </w:hyperlink>
    </w:p>
    <w:p>
      <w:pPr>
        <w:spacing w:line="360" w:before="315" w:after="105" w:lineRule="auto"/>
        <w:ind w:left="-30"/>
        <w:jc w:val="left"/>
      </w:pPr>
      <w:bookmarkStart w:id="179" w:name="order_balance_and_the_four_directions"/>
      <w:r>
        <w:rPr>
          <w:rFonts w:eastAsia="inter" w:cs="inter" w:ascii="inter" w:hAnsi="inter"/>
          <w:b/>
          <w:color w:val="000000"/>
          <w:sz w:val="24"/>
        </w:rPr>
        <w:t xml:space="preserve">Order, balance, and the four directions</w:t>
      </w:r>
      <w:bookmarkEnd w:id="179"/>
    </w:p>
    <w:p>
      <w:pPr>
        <w:numPr>
          <w:ilvl w:val="0"/>
          <w:numId w:val="21"/>
        </w:numPr>
        <w:spacing w:line="360" w:before="105" w:after="105" w:lineRule="auto"/>
      </w:pPr>
      <w:r>
        <w:rPr>
          <w:rFonts w:eastAsia="inter" w:cs="inter" w:ascii="inter" w:hAnsi="inter"/>
          <w:color w:val="000000"/>
          <w:sz w:val="21"/>
        </w:rPr>
        <w:t xml:space="preserve">Geometrically, a lozenge is a rotated square—all sides equal, but oriented on a point—so it naturally evokes </w:t>
      </w:r>
      <w:r>
        <w:rPr>
          <w:rFonts w:eastAsia="inter" w:cs="inter" w:ascii="inter" w:hAnsi="inter"/>
          <w:b/>
          <w:color w:val="000000"/>
          <w:sz w:val="21"/>
        </w:rPr>
        <w:t xml:space="preserve">balance, stability, and the four‑fold division of space</w:t>
      </w:r>
      <w:r>
        <w:rPr>
          <w:rFonts w:eastAsia="inter" w:cs="inter" w:ascii="inter" w:hAnsi="inter"/>
          <w:color w:val="000000"/>
          <w:sz w:val="21"/>
        </w:rPr>
        <w:t xml:space="preserve"> (up/down/left/right or the four directions). In some later interpretive traditions, the diamond becomes a mini‑cosmos: four points for the quarters of the world, with the center as the ordered self or divine presence.</w:t>
      </w:r>
      <w:bookmarkStart w:id="180" w:name="fnref118"/>
      <w:bookmarkEnd w:id="180"/>
      <w:hyperlink w:anchor="fn118">
        <w:r>
          <w:rPr>
            <w:rFonts w:eastAsia="inter" w:cs="inter" w:ascii="inter" w:hAnsi="inter"/>
            <w:color w:val="#000"/>
            <w:sz w:val="21"/>
            <w:u w:val="single"/>
            <w:vertAlign w:val="superscript"/>
          </w:rPr>
          <w:t xml:space="preserve">[118]</w:t>
        </w:r>
      </w:hyperlink>
      <w:bookmarkStart w:id="181" w:name="fnref111_3"/>
      <w:bookmarkEnd w:id="181"/>
      <w:hyperlink w:anchor="fn111">
        <w:r>
          <w:rPr>
            <w:rFonts w:eastAsia="inter" w:cs="inter" w:ascii="inter" w:hAnsi="inter"/>
            <w:color w:val="#000"/>
            <w:sz w:val="21"/>
            <w:u w:val="single"/>
            <w:vertAlign w:val="superscript"/>
          </w:rPr>
          <w:t xml:space="preserve">[111]</w:t>
        </w:r>
      </w:hyperlink>
      <w:bookmarkStart w:id="182" w:name="fnref112_3"/>
      <w:bookmarkEnd w:id="182"/>
      <w:hyperlink w:anchor="fn112">
        <w:r>
          <w:rPr>
            <w:rFonts w:eastAsia="inter" w:cs="inter" w:ascii="inter" w:hAnsi="inter"/>
            <w:color w:val="#000"/>
            <w:sz w:val="21"/>
            <w:u w:val="single"/>
            <w:vertAlign w:val="superscript"/>
          </w:rPr>
          <w:t xml:space="preserve">[112]</w:t>
        </w:r>
      </w:hyperlink>
    </w:p>
    <w:p>
      <w:pPr>
        <w:numPr>
          <w:ilvl w:val="0"/>
          <w:numId w:val="21"/>
        </w:numPr>
        <w:spacing w:line="360" w:before="105" w:after="105" w:lineRule="auto"/>
      </w:pPr>
      <w:r>
        <w:rPr>
          <w:rFonts w:eastAsia="inter" w:cs="inter" w:ascii="inter" w:hAnsi="inter"/>
          <w:color w:val="000000"/>
          <w:sz w:val="21"/>
        </w:rPr>
        <w:t xml:space="preserve">This has led many modern interpreters to see rhombus patterns as symbols of </w:t>
      </w:r>
      <w:r>
        <w:rPr>
          <w:rFonts w:eastAsia="inter" w:cs="inter" w:ascii="inter" w:hAnsi="inter"/>
          <w:b/>
          <w:color w:val="000000"/>
          <w:sz w:val="21"/>
        </w:rPr>
        <w:t xml:space="preserve">inner equilibrium, wholeness, or a harmonized human being</w:t>
      </w:r>
      <w:r>
        <w:rPr>
          <w:rFonts w:eastAsia="inter" w:cs="inter" w:ascii="inter" w:hAnsi="inter"/>
          <w:color w:val="000000"/>
          <w:sz w:val="21"/>
        </w:rPr>
        <w:t xml:space="preserve">, especially where they appear repeatedly in networks, grids, or quincunx (five‑point) arrangements.</w:t>
      </w:r>
      <w:bookmarkStart w:id="183" w:name="fnref119"/>
      <w:bookmarkEnd w:id="183"/>
      <w:hyperlink w:anchor="fn119">
        <w:r>
          <w:rPr>
            <w:rFonts w:eastAsia="inter" w:cs="inter" w:ascii="inter" w:hAnsi="inter"/>
            <w:color w:val="#000"/>
            <w:sz w:val="21"/>
            <w:u w:val="single"/>
            <w:vertAlign w:val="superscript"/>
          </w:rPr>
          <w:t xml:space="preserve">[119]</w:t>
        </w:r>
      </w:hyperlink>
      <w:bookmarkStart w:id="184" w:name="fnref112_4"/>
      <w:bookmarkEnd w:id="184"/>
      <w:hyperlink w:anchor="fn112">
        <w:r>
          <w:rPr>
            <w:rFonts w:eastAsia="inter" w:cs="inter" w:ascii="inter" w:hAnsi="inter"/>
            <w:color w:val="#000"/>
            <w:sz w:val="21"/>
            <w:u w:val="single"/>
            <w:vertAlign w:val="superscript"/>
          </w:rPr>
          <w:t xml:space="preserve">[112]</w:t>
        </w:r>
      </w:hyperlink>
      <w:bookmarkStart w:id="185" w:name="fnref118_1"/>
      <w:bookmarkEnd w:id="185"/>
      <w:hyperlink w:anchor="fn118">
        <w:r>
          <w:rPr>
            <w:rFonts w:eastAsia="inter" w:cs="inter" w:ascii="inter" w:hAnsi="inter"/>
            <w:color w:val="#000"/>
            <w:sz w:val="21"/>
            <w:u w:val="single"/>
            <w:vertAlign w:val="superscript"/>
          </w:rPr>
          <w:t xml:space="preserve">[118]</w:t>
        </w:r>
      </w:hyperlink>
    </w:p>
    <w:p>
      <w:pPr>
        <w:spacing w:line="360" w:before="315" w:after="105" w:lineRule="auto"/>
        <w:ind w:left="-30"/>
        <w:jc w:val="left"/>
      </w:pPr>
      <w:bookmarkStart w:id="186" w:name="layers_of_meaning_in_patterns"/>
      <w:r>
        <w:rPr>
          <w:rFonts w:eastAsia="inter" w:cs="inter" w:ascii="inter" w:hAnsi="inter"/>
          <w:b/>
          <w:color w:val="000000"/>
          <w:sz w:val="24"/>
        </w:rPr>
        <w:t xml:space="preserve">Layers of meaning in patterns</w:t>
      </w:r>
      <w:bookmarkEnd w:id="186"/>
    </w:p>
    <w:p>
      <w:pPr>
        <w:numPr>
          <w:ilvl w:val="0"/>
          <w:numId w:val="22"/>
        </w:numPr>
        <w:spacing w:line="360" w:before="105" w:after="105" w:lineRule="auto"/>
      </w:pPr>
      <w:r>
        <w:rPr>
          <w:rFonts w:eastAsia="inter" w:cs="inter" w:ascii="inter" w:hAnsi="inter"/>
          <w:color w:val="000000"/>
          <w:sz w:val="21"/>
        </w:rPr>
        <w:t xml:space="preserve">On textiles, ceramics, façades, or jewelry, bands of interlocking diamonds often carry all these meanings at once: </w:t>
      </w:r>
      <w:r>
        <w:rPr>
          <w:rFonts w:eastAsia="inter" w:cs="inter" w:ascii="inter" w:hAnsi="inter"/>
          <w:b/>
          <w:color w:val="000000"/>
          <w:sz w:val="21"/>
        </w:rPr>
        <w:t xml:space="preserve">fertile and bounded space</w:t>
      </w:r>
      <w:r>
        <w:rPr>
          <w:rFonts w:eastAsia="inter" w:cs="inter" w:ascii="inter" w:hAnsi="inter"/>
          <w:color w:val="000000"/>
          <w:sz w:val="21"/>
        </w:rPr>
        <w:t xml:space="preserve">, </w:t>
      </w:r>
      <w:r>
        <w:rPr>
          <w:rFonts w:eastAsia="inter" w:cs="inter" w:ascii="inter" w:hAnsi="inter"/>
          <w:b/>
          <w:color w:val="000000"/>
          <w:sz w:val="21"/>
        </w:rPr>
        <w:t xml:space="preserve">watchful/protective presence</w:t>
      </w:r>
      <w:r>
        <w:rPr>
          <w:rFonts w:eastAsia="inter" w:cs="inter" w:ascii="inter" w:hAnsi="inter"/>
          <w:color w:val="000000"/>
          <w:sz w:val="21"/>
        </w:rPr>
        <w:t xml:space="preserve">, and </w:t>
      </w:r>
      <w:r>
        <w:rPr>
          <w:rFonts w:eastAsia="inter" w:cs="inter" w:ascii="inter" w:hAnsi="inter"/>
          <w:b/>
          <w:color w:val="000000"/>
          <w:sz w:val="21"/>
        </w:rPr>
        <w:t xml:space="preserve">a four‑fold balanced order</w:t>
      </w:r>
      <w:r>
        <w:rPr>
          <w:rFonts w:eastAsia="inter" w:cs="inter" w:ascii="inter" w:hAnsi="inter"/>
          <w:color w:val="000000"/>
          <w:sz w:val="21"/>
        </w:rPr>
        <w:t xml:space="preserve"> imposed on a surface.</w:t>
      </w:r>
      <w:bookmarkStart w:id="187" w:name="fnref120"/>
      <w:bookmarkEnd w:id="187"/>
      <w:hyperlink w:anchor="fn120">
        <w:r>
          <w:rPr>
            <w:rFonts w:eastAsia="inter" w:cs="inter" w:ascii="inter" w:hAnsi="inter"/>
            <w:color w:val="#000"/>
            <w:sz w:val="21"/>
            <w:u w:val="single"/>
            <w:vertAlign w:val="superscript"/>
          </w:rPr>
          <w:t xml:space="preserve">[120]</w:t>
        </w:r>
      </w:hyperlink>
      <w:bookmarkStart w:id="188" w:name="fnref121"/>
      <w:bookmarkEnd w:id="188"/>
      <w:hyperlink w:anchor="fn121">
        <w:r>
          <w:rPr>
            <w:rFonts w:eastAsia="inter" w:cs="inter" w:ascii="inter" w:hAnsi="inter"/>
            <w:color w:val="#000"/>
            <w:sz w:val="21"/>
            <w:u w:val="single"/>
            <w:vertAlign w:val="superscript"/>
          </w:rPr>
          <w:t xml:space="preserve">[121]</w:t>
        </w:r>
      </w:hyperlink>
      <w:bookmarkStart w:id="189" w:name="fnref122"/>
      <w:bookmarkEnd w:id="189"/>
      <w:hyperlink w:anchor="fn122">
        <w:r>
          <w:rPr>
            <w:rFonts w:eastAsia="inter" w:cs="inter" w:ascii="inter" w:hAnsi="inter"/>
            <w:color w:val="#000"/>
            <w:sz w:val="21"/>
            <w:u w:val="single"/>
            <w:vertAlign w:val="superscript"/>
          </w:rPr>
          <w:t xml:space="preserve">[122]</w:t>
        </w:r>
      </w:hyperlink>
      <w:bookmarkStart w:id="190" w:name="fnref123"/>
      <w:bookmarkEnd w:id="190"/>
      <w:hyperlink w:anchor="fn123">
        <w:r>
          <w:rPr>
            <w:rFonts w:eastAsia="inter" w:cs="inter" w:ascii="inter" w:hAnsi="inter"/>
            <w:color w:val="#000"/>
            <w:sz w:val="21"/>
            <w:u w:val="single"/>
            <w:vertAlign w:val="superscript"/>
          </w:rPr>
          <w:t xml:space="preserve">[123]</w:t>
        </w:r>
      </w:hyperlink>
    </w:p>
    <w:p>
      <w:pPr>
        <w:numPr>
          <w:ilvl w:val="0"/>
          <w:numId w:val="22"/>
        </w:numPr>
        <w:spacing w:line="360" w:before="105" w:after="105" w:lineRule="auto"/>
      </w:pPr>
      <w:r>
        <w:rPr>
          <w:rFonts w:eastAsia="inter" w:cs="inter" w:ascii="inter" w:hAnsi="inter"/>
          <w:color w:val="000000"/>
          <w:sz w:val="21"/>
        </w:rPr>
        <w:t xml:space="preserve">Because the lozenge is so simple and globally widespread, its exact nuance can shift by culture and context, but across ancient usage it reliably clusters around </w:t>
      </w:r>
      <w:r>
        <w:rPr>
          <w:rFonts w:eastAsia="inter" w:cs="inter" w:ascii="inter" w:hAnsi="inter"/>
          <w:b/>
          <w:color w:val="000000"/>
          <w:sz w:val="21"/>
        </w:rPr>
        <w:t xml:space="preserve">life, protection, and structured space</w:t>
      </w:r>
      <w:r>
        <w:rPr>
          <w:rFonts w:eastAsia="inter" w:cs="inter" w:ascii="inter" w:hAnsi="inter"/>
          <w:color w:val="000000"/>
          <w:sz w:val="21"/>
        </w:rPr>
        <w:t xml:space="preserve">, rather than being a neutral filler shape.</w:t>
      </w:r>
      <w:bookmarkStart w:id="191" w:name="fnref111_4"/>
      <w:bookmarkEnd w:id="191"/>
      <w:hyperlink w:anchor="fn111">
        <w:r>
          <w:rPr>
            <w:rFonts w:eastAsia="inter" w:cs="inter" w:ascii="inter" w:hAnsi="inter"/>
            <w:color w:val="#000"/>
            <w:sz w:val="21"/>
            <w:u w:val="single"/>
            <w:vertAlign w:val="superscript"/>
          </w:rPr>
          <w:t xml:space="preserve">[111]</w:t>
        </w:r>
      </w:hyperlink>
      <w:bookmarkStart w:id="192" w:name="fnref112_5"/>
      <w:bookmarkEnd w:id="192"/>
      <w:hyperlink w:anchor="fn112">
        <w:r>
          <w:rPr>
            <w:rFonts w:eastAsia="inter" w:cs="inter" w:ascii="inter" w:hAnsi="inter"/>
            <w:color w:val="#000"/>
            <w:sz w:val="21"/>
            <w:u w:val="single"/>
            <w:vertAlign w:val="superscript"/>
          </w:rPr>
          <w:t xml:space="preserve">[112]</w:t>
        </w:r>
      </w:hyperlink>
      <w:bookmarkStart w:id="193" w:name="fnref117_1"/>
      <w:bookmarkEnd w:id="193"/>
      <w:hyperlink w:anchor="fn117">
        <w:r>
          <w:rPr>
            <w:rFonts w:eastAsia="inter" w:cs="inter" w:ascii="inter" w:hAnsi="inter"/>
            <w:color w:val="#000"/>
            <w:sz w:val="21"/>
            <w:u w:val="single"/>
            <w:vertAlign w:val="superscript"/>
          </w:rPr>
          <w:t xml:space="preserve">[117]</w:t>
        </w:r>
      </w:hyperlink>
      <w:r>
        <w:rPr>
          <w:rFonts w:eastAsia="inter" w:cs="inter" w:ascii="inter" w:hAnsi="inter"/>
          <w:color w:val="000000"/>
          <w:sz w:val="21"/>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94" w:name="how_did_lozenges_function_in_arch_ae182c"/>
      <w:r>
        <w:rPr>
          <w:rFonts w:eastAsia="inter" w:cs="inter" w:ascii="inter" w:hAnsi="inter"/>
          <w:b/>
          <w:color w:val="000000"/>
          <w:sz w:val="39"/>
        </w:rPr>
        <w:t xml:space="preserve">How did lozenges function in architectural ornamentation and heraldry</w:t>
      </w:r>
      <w:bookmarkEnd w:id="194"/>
    </w:p>
    <w:p>
      <w:pPr>
        <w:spacing w:line="360" w:after="210" w:lineRule="auto"/>
      </w:pPr>
      <w:r>
        <w:rPr>
          <w:rFonts w:eastAsia="inter" w:cs="inter" w:ascii="inter" w:hAnsi="inter"/>
          <w:color w:val="000000"/>
        </w:rPr>
        <w:t xml:space="preserve">Lozenges functioned both as decorative structural elements and as dense symbolic markers—they organized façades visually while encoding meanings about cosmic order, protection, and elite authority.</w:t>
      </w:r>
      <w:bookmarkStart w:id="195" w:name="fnref135"/>
      <w:bookmarkEnd w:id="195"/>
      <w:hyperlink w:anchor="fn135">
        <w:r>
          <w:rPr>
            <w:rFonts w:eastAsia="inter" w:cs="inter" w:ascii="inter" w:hAnsi="inter"/>
            <w:color w:val="#000"/>
            <w:u w:val="single"/>
            <w:vertAlign w:val="superscript"/>
          </w:rPr>
          <w:t xml:space="preserve">[135]</w:t>
        </w:r>
      </w:hyperlink>
      <w:bookmarkStart w:id="196" w:name="fnref136"/>
      <w:bookmarkEnd w:id="196"/>
      <w:hyperlink w:anchor="fn136">
        <w:r>
          <w:rPr>
            <w:rFonts w:eastAsia="inter" w:cs="inter" w:ascii="inter" w:hAnsi="inter"/>
            <w:color w:val="#000"/>
            <w:u w:val="single"/>
            <w:vertAlign w:val="superscript"/>
          </w:rPr>
          <w:t xml:space="preserve">[136]</w:t>
        </w:r>
      </w:hyperlink>
      <w:bookmarkStart w:id="197" w:name="fnref137"/>
      <w:bookmarkEnd w:id="197"/>
      <w:hyperlink w:anchor="fn137">
        <w:r>
          <w:rPr>
            <w:rFonts w:eastAsia="inter" w:cs="inter" w:ascii="inter" w:hAnsi="inter"/>
            <w:color w:val="#000"/>
            <w:u w:val="single"/>
            <w:vertAlign w:val="superscript"/>
          </w:rPr>
          <w:t xml:space="preserve">[137]</w:t>
        </w:r>
      </w:hyperlink>
    </w:p>
    <w:p>
      <w:pPr>
        <w:spacing w:line="360" w:before="315" w:after="105" w:lineRule="auto"/>
        <w:ind w:left="-30"/>
        <w:jc w:val="left"/>
      </w:pPr>
      <w:bookmarkStart w:id="198" w:name="architectural_functions_visual_or_d82f47"/>
      <w:r>
        <w:rPr>
          <w:rFonts w:eastAsia="inter" w:cs="inter" w:ascii="inter" w:hAnsi="inter"/>
          <w:b/>
          <w:color w:val="000000"/>
          <w:sz w:val="24"/>
        </w:rPr>
        <w:t xml:space="preserve">Architectural Functions: Visual Organization</w:t>
      </w:r>
      <w:bookmarkEnd w:id="198"/>
    </w:p>
    <w:p>
      <w:pPr>
        <w:spacing w:line="360" w:after="210" w:lineRule="auto"/>
      </w:pPr>
      <w:r>
        <w:rPr>
          <w:rFonts w:eastAsia="inter" w:cs="inter" w:ascii="inter" w:hAnsi="inter"/>
          <w:b/>
          <w:color w:val="000000"/>
        </w:rPr>
        <w:t xml:space="preserve">Breaking up monotony and creating grid rhythm:</w:t>
      </w:r>
    </w:p>
    <w:p>
      <w:pPr>
        <w:numPr>
          <w:ilvl w:val="0"/>
          <w:numId w:val="23"/>
        </w:numPr>
        <w:spacing w:line="360" w:before="105" w:after="105" w:lineRule="auto"/>
      </w:pPr>
      <w:r>
        <w:rPr>
          <w:rFonts w:eastAsia="inter" w:cs="inter" w:ascii="inter" w:hAnsi="inter"/>
          <w:color w:val="000000"/>
          <w:sz w:val="21"/>
        </w:rPr>
        <w:t xml:space="preserve">Repeated lozenge patterns across temple and palace façades—whether in cone mosaic, painted decoration, or carved relief—divide long, plain wall surfaces into measurable bays and compartments. This segmentation makes monumental architecture appear less overwhelming and creates a readable visual grid.</w:t>
      </w:r>
      <w:bookmarkStart w:id="199" w:name="fnref138"/>
      <w:bookmarkEnd w:id="199"/>
      <w:hyperlink w:anchor="fn138">
        <w:r>
          <w:rPr>
            <w:rFonts w:eastAsia="inter" w:cs="inter" w:ascii="inter" w:hAnsi="inter"/>
            <w:color w:val="#000"/>
            <w:sz w:val="21"/>
            <w:u w:val="single"/>
            <w:vertAlign w:val="superscript"/>
          </w:rPr>
          <w:t xml:space="preserve">[138]</w:t>
        </w:r>
      </w:hyperlink>
      <w:bookmarkStart w:id="200" w:name="fnref139"/>
      <w:bookmarkEnd w:id="200"/>
      <w:hyperlink w:anchor="fn139">
        <w:r>
          <w:rPr>
            <w:rFonts w:eastAsia="inter" w:cs="inter" w:ascii="inter" w:hAnsi="inter"/>
            <w:color w:val="#000"/>
            <w:sz w:val="21"/>
            <w:u w:val="single"/>
            <w:vertAlign w:val="superscript"/>
          </w:rPr>
          <w:t xml:space="preserve">[139]</w:t>
        </w:r>
      </w:hyperlink>
      <w:bookmarkStart w:id="201" w:name="fnref140"/>
      <w:bookmarkEnd w:id="201"/>
      <w:hyperlink w:anchor="fn140">
        <w:r>
          <w:rPr>
            <w:rFonts w:eastAsia="inter" w:cs="inter" w:ascii="inter" w:hAnsi="inter"/>
            <w:color w:val="#000"/>
            <w:sz w:val="21"/>
            <w:u w:val="single"/>
            <w:vertAlign w:val="superscript"/>
          </w:rPr>
          <w:t xml:space="preserve">[140]</w:t>
        </w:r>
      </w:hyperlink>
      <w:bookmarkStart w:id="202" w:name="fnref141"/>
      <w:bookmarkEnd w:id="202"/>
      <w:hyperlink w:anchor="fn141">
        <w:r>
          <w:rPr>
            <w:rFonts w:eastAsia="inter" w:cs="inter" w:ascii="inter" w:hAnsi="inter"/>
            <w:color w:val="#000"/>
            <w:sz w:val="21"/>
            <w:u w:val="single"/>
            <w:vertAlign w:val="superscript"/>
          </w:rPr>
          <w:t xml:space="preserve">[141]</w:t>
        </w:r>
      </w:hyperlink>
      <w:bookmarkStart w:id="203" w:name="fnref142"/>
      <w:bookmarkEnd w:id="203"/>
      <w:hyperlink w:anchor="fn142">
        <w:r>
          <w:rPr>
            <w:rFonts w:eastAsia="inter" w:cs="inter" w:ascii="inter" w:hAnsi="inter"/>
            <w:color w:val="#000"/>
            <w:sz w:val="21"/>
            <w:u w:val="single"/>
            <w:vertAlign w:val="superscript"/>
          </w:rPr>
          <w:t xml:space="preserve">[142]</w:t>
        </w:r>
      </w:hyperlink>
    </w:p>
    <w:p>
      <w:pPr>
        <w:numPr>
          <w:ilvl w:val="0"/>
          <w:numId w:val="23"/>
        </w:numPr>
        <w:spacing w:line="360" w:before="105" w:after="105" w:lineRule="auto"/>
      </w:pPr>
      <w:r>
        <w:rPr>
          <w:rFonts w:eastAsia="inter" w:cs="inter" w:ascii="inter" w:hAnsi="inter"/>
          <w:color w:val="000000"/>
          <w:sz w:val="21"/>
        </w:rPr>
        <w:t xml:space="preserve">On buttressed or niched façades, lozenges often sit </w:t>
      </w:r>
      <w:r>
        <w:rPr>
          <w:rFonts w:eastAsia="inter" w:cs="inter" w:ascii="inter" w:hAnsi="inter"/>
          <w:i/>
          <w:color w:val="000000"/>
          <w:sz w:val="21"/>
        </w:rPr>
        <w:t xml:space="preserve">between</w:t>
      </w:r>
      <w:r>
        <w:rPr>
          <w:rFonts w:eastAsia="inter" w:cs="inter" w:ascii="inter" w:hAnsi="inter"/>
          <w:color w:val="000000"/>
          <w:sz w:val="21"/>
        </w:rPr>
        <w:t xml:space="preserve"> the structural elements (the niches and projections), becoming a filler pattern that ties separate architectural units together into a unified visual field.</w:t>
      </w:r>
      <w:bookmarkStart w:id="204" w:name="fnref143"/>
      <w:bookmarkEnd w:id="204"/>
      <w:hyperlink w:anchor="fn143">
        <w:r>
          <w:rPr>
            <w:rFonts w:eastAsia="inter" w:cs="inter" w:ascii="inter" w:hAnsi="inter"/>
            <w:color w:val="#000"/>
            <w:sz w:val="21"/>
            <w:u w:val="single"/>
            <w:vertAlign w:val="superscript"/>
          </w:rPr>
          <w:t xml:space="preserve">[143]</w:t>
        </w:r>
      </w:hyperlink>
      <w:bookmarkStart w:id="205" w:name="fnref138_1"/>
      <w:bookmarkEnd w:id="205"/>
      <w:hyperlink w:anchor="fn138">
        <w:r>
          <w:rPr>
            <w:rFonts w:eastAsia="inter" w:cs="inter" w:ascii="inter" w:hAnsi="inter"/>
            <w:color w:val="#000"/>
            <w:sz w:val="21"/>
            <w:u w:val="single"/>
            <w:vertAlign w:val="superscript"/>
          </w:rPr>
          <w:t xml:space="preserve">[138]</w:t>
        </w:r>
      </w:hyperlink>
    </w:p>
    <w:p>
      <w:pPr>
        <w:spacing w:line="360" w:after="210" w:lineRule="auto"/>
      </w:pPr>
      <w:r>
        <w:rPr>
          <w:rFonts w:eastAsia="inter" w:cs="inter" w:ascii="inter" w:hAnsi="inter"/>
          <w:b/>
          <w:color w:val="000000"/>
        </w:rPr>
        <w:t xml:space="preserve">Horizontal and vertical coherence:</w:t>
      </w:r>
    </w:p>
    <w:p>
      <w:pPr>
        <w:numPr>
          <w:ilvl w:val="0"/>
          <w:numId w:val="24"/>
        </w:numPr>
        <w:spacing w:line="360" w:before="105" w:after="105" w:lineRule="auto"/>
      </w:pPr>
      <w:r>
        <w:rPr>
          <w:rFonts w:eastAsia="inter" w:cs="inter" w:ascii="inter" w:hAnsi="inter"/>
          <w:color w:val="000000"/>
          <w:sz w:val="21"/>
        </w:rPr>
        <w:t xml:space="preserve">Lozenge bands run </w:t>
      </w:r>
      <w:r>
        <w:rPr>
          <w:rFonts w:eastAsia="inter" w:cs="inter" w:ascii="inter" w:hAnsi="inter"/>
          <w:b/>
          <w:color w:val="000000"/>
          <w:sz w:val="21"/>
        </w:rPr>
        <w:t xml:space="preserve">horizontally</w:t>
      </w:r>
      <w:r>
        <w:rPr>
          <w:rFonts w:eastAsia="inter" w:cs="inter" w:ascii="inter" w:hAnsi="inter"/>
          <w:color w:val="000000"/>
          <w:sz w:val="21"/>
        </w:rPr>
        <w:t xml:space="preserve"> at fixed heights on walls and palace façades, creating a linear rhythm that unifies disparate elements across a broad expanse. On ziggurat sides, lozenges can also mark </w:t>
      </w:r>
      <w:r>
        <w:rPr>
          <w:rFonts w:eastAsia="inter" w:cs="inter" w:ascii="inter" w:hAnsi="inter"/>
          <w:b/>
          <w:color w:val="000000"/>
          <w:sz w:val="21"/>
        </w:rPr>
        <w:t xml:space="preserve">vertical divisions</w:t>
      </w:r>
      <w:r>
        <w:rPr>
          <w:rFonts w:eastAsia="inter" w:cs="inter" w:ascii="inter" w:hAnsi="inter"/>
          <w:color w:val="000000"/>
          <w:sz w:val="21"/>
        </w:rPr>
        <w:t xml:space="preserve"> between terraces, making the stepped structure's stratification visibly explicit.</w:t>
      </w:r>
      <w:bookmarkStart w:id="206" w:name="fnref139_1"/>
      <w:bookmarkEnd w:id="206"/>
      <w:hyperlink w:anchor="fn139">
        <w:r>
          <w:rPr>
            <w:rFonts w:eastAsia="inter" w:cs="inter" w:ascii="inter" w:hAnsi="inter"/>
            <w:color w:val="#000"/>
            <w:sz w:val="21"/>
            <w:u w:val="single"/>
            <w:vertAlign w:val="superscript"/>
          </w:rPr>
          <w:t xml:space="preserve">[139]</w:t>
        </w:r>
      </w:hyperlink>
      <w:bookmarkStart w:id="207" w:name="fnref140_1"/>
      <w:bookmarkEnd w:id="207"/>
      <w:hyperlink w:anchor="fn140">
        <w:r>
          <w:rPr>
            <w:rFonts w:eastAsia="inter" w:cs="inter" w:ascii="inter" w:hAnsi="inter"/>
            <w:color w:val="#000"/>
            <w:sz w:val="21"/>
            <w:u w:val="single"/>
            <w:vertAlign w:val="superscript"/>
          </w:rPr>
          <w:t xml:space="preserve">[140]</w:t>
        </w:r>
      </w:hyperlink>
      <w:bookmarkStart w:id="208" w:name="fnref141_1"/>
      <w:bookmarkEnd w:id="208"/>
      <w:hyperlink w:anchor="fn141">
        <w:r>
          <w:rPr>
            <w:rFonts w:eastAsia="inter" w:cs="inter" w:ascii="inter" w:hAnsi="inter"/>
            <w:color w:val="#000"/>
            <w:sz w:val="21"/>
            <w:u w:val="single"/>
            <w:vertAlign w:val="superscript"/>
          </w:rPr>
          <w:t xml:space="preserve">[141]</w:t>
        </w:r>
      </w:hyperlink>
      <w:bookmarkStart w:id="209" w:name="fnref142_1"/>
      <w:bookmarkEnd w:id="209"/>
      <w:hyperlink w:anchor="fn142">
        <w:r>
          <w:rPr>
            <w:rFonts w:eastAsia="inter" w:cs="inter" w:ascii="inter" w:hAnsi="inter"/>
            <w:color w:val="#000"/>
            <w:sz w:val="21"/>
            <w:u w:val="single"/>
            <w:vertAlign w:val="superscript"/>
          </w:rPr>
          <w:t xml:space="preserve">[142]</w:t>
        </w:r>
      </w:hyperlink>
    </w:p>
    <w:p>
      <w:pPr>
        <w:spacing w:line="360" w:before="315" w:after="105" w:lineRule="auto"/>
        <w:ind w:left="-30"/>
        <w:jc w:val="left"/>
      </w:pPr>
      <w:bookmarkStart w:id="210" w:name="heraldic_and_symbolic_functions_s_cdc921"/>
      <w:r>
        <w:rPr>
          <w:rFonts w:eastAsia="inter" w:cs="inter" w:ascii="inter" w:hAnsi="inter"/>
          <w:b/>
          <w:color w:val="000000"/>
          <w:sz w:val="24"/>
        </w:rPr>
        <w:t xml:space="preserve">Heraldic and Symbolic Functions: Status, Sovereignty, and Protection</w:t>
      </w:r>
      <w:bookmarkEnd w:id="210"/>
    </w:p>
    <w:p>
      <w:pPr>
        <w:spacing w:line="360" w:after="210" w:lineRule="auto"/>
      </w:pPr>
      <w:r>
        <w:rPr>
          <w:rFonts w:eastAsia="inter" w:cs="inter" w:ascii="inter" w:hAnsi="inter"/>
          <w:b/>
          <w:color w:val="000000"/>
        </w:rPr>
        <w:t xml:space="preserve">Kingship and legitimacy:</w:t>
      </w:r>
    </w:p>
    <w:p>
      <w:pPr>
        <w:numPr>
          <w:ilvl w:val="0"/>
          <w:numId w:val="25"/>
        </w:numPr>
        <w:spacing w:line="360" w:before="105" w:after="105" w:lineRule="auto"/>
      </w:pPr>
      <w:r>
        <w:rPr>
          <w:rFonts w:eastAsia="inter" w:cs="inter" w:ascii="inter" w:hAnsi="inter"/>
          <w:color w:val="000000"/>
          <w:sz w:val="21"/>
        </w:rPr>
        <w:t xml:space="preserve">In Egyptian (and by extension, broader Near Eastern) royal iconography, lozenge patterns on royal belts and garments indicated </w:t>
      </w:r>
      <w:r>
        <w:rPr>
          <w:rFonts w:eastAsia="inter" w:cs="inter" w:ascii="inter" w:hAnsi="inter"/>
          <w:b/>
          <w:color w:val="000000"/>
          <w:sz w:val="21"/>
        </w:rPr>
        <w:t xml:space="preserve">sovereignty and the boundary between the earthly and divine realms</w:t>
      </w:r>
      <w:r>
        <w:rPr>
          <w:rFonts w:eastAsia="inter" w:cs="inter" w:ascii="inter" w:hAnsi="inter"/>
          <w:color w:val="000000"/>
          <w:sz w:val="21"/>
        </w:rPr>
        <w:t xml:space="preserve">—the lozenge functioned as a miniature cosmos worn by the king to affirm his cosmic centrality. The repetition of lozenges down the front of royal statues created a visual "chain" linking the king's body to ordered, geometric space.</w:t>
      </w:r>
      <w:bookmarkStart w:id="211" w:name="fnref144"/>
      <w:bookmarkEnd w:id="211"/>
      <w:hyperlink w:anchor="fn144">
        <w:r>
          <w:rPr>
            <w:rFonts w:eastAsia="inter" w:cs="inter" w:ascii="inter" w:hAnsi="inter"/>
            <w:color w:val="#000"/>
            <w:sz w:val="21"/>
            <w:u w:val="single"/>
            <w:vertAlign w:val="superscript"/>
          </w:rPr>
          <w:t xml:space="preserve">[144]</w:t>
        </w:r>
      </w:hyperlink>
    </w:p>
    <w:p>
      <w:pPr>
        <w:spacing w:line="360" w:after="210" w:lineRule="auto"/>
      </w:pPr>
      <w:r>
        <w:rPr>
          <w:rFonts w:eastAsia="inter" w:cs="inter" w:ascii="inter" w:hAnsi="inter"/>
          <w:b/>
          <w:color w:val="000000"/>
        </w:rPr>
        <w:t xml:space="preserve">Heraldic identity and lineage:</w:t>
      </w:r>
    </w:p>
    <w:p>
      <w:pPr>
        <w:numPr>
          <w:ilvl w:val="0"/>
          <w:numId w:val="26"/>
        </w:numPr>
        <w:spacing w:line="360" w:before="105" w:after="105" w:lineRule="auto"/>
      </w:pPr>
      <w:r>
        <w:rPr>
          <w:rFonts w:eastAsia="inter" w:cs="inter" w:ascii="inter" w:hAnsi="inter"/>
          <w:color w:val="000000"/>
          <w:sz w:val="21"/>
        </w:rPr>
        <w:t xml:space="preserve">In medieval heraldry—which inherited earlier prototypical systems—lozenges (particularly </w:t>
      </w:r>
      <w:r>
        <w:rPr>
          <w:rFonts w:eastAsia="inter" w:cs="inter" w:ascii="inter" w:hAnsi="inter"/>
          <w:b/>
          <w:color w:val="000000"/>
          <w:sz w:val="21"/>
        </w:rPr>
        <w:t xml:space="preserve">mascles</w:t>
      </w:r>
      <w:r>
        <w:rPr>
          <w:rFonts w:eastAsia="inter" w:cs="inter" w:ascii="inter" w:hAnsi="inter"/>
          <w:color w:val="000000"/>
          <w:sz w:val="21"/>
        </w:rPr>
        <w:t xml:space="preserve">, the voided or hollow lozenge) became heraldic </w:t>
      </w:r>
      <w:r>
        <w:rPr>
          <w:rFonts w:eastAsia="inter" w:cs="inter" w:ascii="inter" w:hAnsi="inter"/>
          <w:b/>
          <w:color w:val="000000"/>
          <w:sz w:val="21"/>
        </w:rPr>
        <w:t xml:space="preserve">charges</w:t>
      </w:r>
      <w:r>
        <w:rPr>
          <w:rFonts w:eastAsia="inter" w:cs="inter" w:ascii="inter" w:hAnsi="inter"/>
          <w:color w:val="000000"/>
          <w:sz w:val="21"/>
        </w:rPr>
        <w:t xml:space="preserve"> placed on shields as symbols of family identity. A lozenge or field of lozenges became recognizable as "belonging to" a specific person or house, much like a signature or seal.</w:t>
      </w:r>
      <w:bookmarkStart w:id="212" w:name="fnref145"/>
      <w:bookmarkEnd w:id="212"/>
      <w:hyperlink w:anchor="fn145">
        <w:r>
          <w:rPr>
            <w:rFonts w:eastAsia="inter" w:cs="inter" w:ascii="inter" w:hAnsi="inter"/>
            <w:color w:val="#000"/>
            <w:sz w:val="21"/>
            <w:u w:val="single"/>
            <w:vertAlign w:val="superscript"/>
          </w:rPr>
          <w:t xml:space="preserve">[145]</w:t>
        </w:r>
      </w:hyperlink>
      <w:bookmarkStart w:id="213" w:name="fnref146"/>
      <w:bookmarkEnd w:id="213"/>
      <w:hyperlink w:anchor="fn146">
        <w:r>
          <w:rPr>
            <w:rFonts w:eastAsia="inter" w:cs="inter" w:ascii="inter" w:hAnsi="inter"/>
            <w:color w:val="#000"/>
            <w:sz w:val="21"/>
            <w:u w:val="single"/>
            <w:vertAlign w:val="superscript"/>
          </w:rPr>
          <w:t xml:space="preserve">[146]</w:t>
        </w:r>
      </w:hyperlink>
      <w:bookmarkStart w:id="214" w:name="fnref147"/>
      <w:bookmarkEnd w:id="214"/>
      <w:hyperlink w:anchor="fn147">
        <w:r>
          <w:rPr>
            <w:rFonts w:eastAsia="inter" w:cs="inter" w:ascii="inter" w:hAnsi="inter"/>
            <w:color w:val="#000"/>
            <w:sz w:val="21"/>
            <w:u w:val="single"/>
            <w:vertAlign w:val="superscript"/>
          </w:rPr>
          <w:t xml:space="preserve">[147]</w:t>
        </w:r>
      </w:hyperlink>
      <w:bookmarkStart w:id="215" w:name="fnref135_1"/>
      <w:bookmarkEnd w:id="215"/>
      <w:hyperlink w:anchor="fn135">
        <w:r>
          <w:rPr>
            <w:rFonts w:eastAsia="inter" w:cs="inter" w:ascii="inter" w:hAnsi="inter"/>
            <w:color w:val="#000"/>
            <w:sz w:val="21"/>
            <w:u w:val="single"/>
            <w:vertAlign w:val="superscript"/>
          </w:rPr>
          <w:t xml:space="preserve">[135]</w:t>
        </w:r>
      </w:hyperlink>
    </w:p>
    <w:p>
      <w:pPr>
        <w:numPr>
          <w:ilvl w:val="0"/>
          <w:numId w:val="26"/>
        </w:numPr>
        <w:spacing w:line="360" w:before="105" w:after="105" w:lineRule="auto"/>
      </w:pPr>
      <w:r>
        <w:rPr>
          <w:rFonts w:eastAsia="inter" w:cs="inter" w:ascii="inter" w:hAnsi="inter"/>
          <w:color w:val="000000"/>
          <w:sz w:val="21"/>
        </w:rPr>
        <w:t xml:space="preserve">In many heraldic traditions, women bore their arms on </w:t>
      </w:r>
      <w:r>
        <w:rPr>
          <w:rFonts w:eastAsia="inter" w:cs="inter" w:ascii="inter" w:hAnsi="inter"/>
          <w:b/>
          <w:color w:val="000000"/>
          <w:sz w:val="21"/>
        </w:rPr>
        <w:t xml:space="preserve">lozenge-shaped shields</w:t>
      </w:r>
      <w:r>
        <w:rPr>
          <w:rFonts w:eastAsia="inter" w:cs="inter" w:ascii="inter" w:hAnsi="inter"/>
          <w:color w:val="000000"/>
          <w:sz w:val="21"/>
        </w:rPr>
        <w:t xml:space="preserve"> rather than the warrior's kite or heater shield, making the lozenge itself a gendered, ceremonial frame for representing status outside military contexts.</w:t>
      </w:r>
      <w:bookmarkStart w:id="216" w:name="fnref146_1"/>
      <w:bookmarkEnd w:id="216"/>
      <w:hyperlink w:anchor="fn146">
        <w:r>
          <w:rPr>
            <w:rFonts w:eastAsia="inter" w:cs="inter" w:ascii="inter" w:hAnsi="inter"/>
            <w:color w:val="#000"/>
            <w:sz w:val="21"/>
            <w:u w:val="single"/>
            <w:vertAlign w:val="superscript"/>
          </w:rPr>
          <w:t xml:space="preserve">[146]</w:t>
        </w:r>
      </w:hyperlink>
      <w:bookmarkStart w:id="217" w:name="fnref135_2"/>
      <w:bookmarkEnd w:id="217"/>
      <w:hyperlink w:anchor="fn135">
        <w:r>
          <w:rPr>
            <w:rFonts w:eastAsia="inter" w:cs="inter" w:ascii="inter" w:hAnsi="inter"/>
            <w:color w:val="#000"/>
            <w:sz w:val="21"/>
            <w:u w:val="single"/>
            <w:vertAlign w:val="superscript"/>
          </w:rPr>
          <w:t xml:space="preserve">[135]</w:t>
        </w:r>
      </w:hyperlink>
    </w:p>
    <w:p>
      <w:pPr>
        <w:spacing w:line="360" w:after="210" w:lineRule="auto"/>
      </w:pPr>
      <w:r>
        <w:rPr>
          <w:rFonts w:eastAsia="inter" w:cs="inter" w:ascii="inter" w:hAnsi="inter"/>
          <w:b/>
          <w:color w:val="000000"/>
        </w:rPr>
        <w:t xml:space="preserve">Protective and apotropaic meanings:</w:t>
      </w:r>
    </w:p>
    <w:p>
      <w:pPr>
        <w:numPr>
          <w:ilvl w:val="0"/>
          <w:numId w:val="27"/>
        </w:numPr>
        <w:spacing w:line="360" w:before="105" w:after="105" w:lineRule="auto"/>
      </w:pPr>
      <w:r>
        <w:rPr>
          <w:rFonts w:eastAsia="inter" w:cs="inter" w:ascii="inter" w:hAnsi="inter"/>
          <w:color w:val="000000"/>
          <w:sz w:val="21"/>
        </w:rPr>
        <w:t xml:space="preserve">Fields of repeating lozenges or diamond patterns on temple walls, seals, and textiles functioned as a </w:t>
      </w:r>
      <w:r>
        <w:rPr>
          <w:rFonts w:eastAsia="inter" w:cs="inter" w:ascii="inter" w:hAnsi="inter"/>
          <w:b/>
          <w:color w:val="000000"/>
          <w:sz w:val="21"/>
        </w:rPr>
        <w:t xml:space="preserve">protective "eye grid"</w:t>
      </w:r>
      <w:r>
        <w:rPr>
          <w:rFonts w:eastAsia="inter" w:cs="inter" w:ascii="inter" w:hAnsi="inter"/>
          <w:color w:val="000000"/>
          <w:sz w:val="21"/>
        </w:rPr>
        <w:t xml:space="preserve">—a visual fence of watching, geometrically perfect units meant to ward off chaotic or evil forces. The density and perfect regularity of the pattern broadcast order and divine presence.</w:t>
      </w:r>
      <w:bookmarkStart w:id="218" w:name="fnref148"/>
      <w:bookmarkEnd w:id="218"/>
      <w:hyperlink w:anchor="fn148">
        <w:r>
          <w:rPr>
            <w:rFonts w:eastAsia="inter" w:cs="inter" w:ascii="inter" w:hAnsi="inter"/>
            <w:color w:val="#000"/>
            <w:sz w:val="21"/>
            <w:u w:val="single"/>
            <w:vertAlign w:val="superscript"/>
          </w:rPr>
          <w:t xml:space="preserve">[148]</w:t>
        </w:r>
      </w:hyperlink>
      <w:bookmarkStart w:id="219" w:name="fnref149"/>
      <w:bookmarkEnd w:id="219"/>
      <w:hyperlink w:anchor="fn149">
        <w:r>
          <w:rPr>
            <w:rFonts w:eastAsia="inter" w:cs="inter" w:ascii="inter" w:hAnsi="inter"/>
            <w:color w:val="#000"/>
            <w:sz w:val="21"/>
            <w:u w:val="single"/>
            <w:vertAlign w:val="superscript"/>
          </w:rPr>
          <w:t xml:space="preserve">[149]</w:t>
        </w:r>
      </w:hyperlink>
      <w:bookmarkStart w:id="220" w:name="fnref150"/>
      <w:bookmarkEnd w:id="220"/>
      <w:hyperlink w:anchor="fn150">
        <w:r>
          <w:rPr>
            <w:rFonts w:eastAsia="inter" w:cs="inter" w:ascii="inter" w:hAnsi="inter"/>
            <w:color w:val="#000"/>
            <w:sz w:val="21"/>
            <w:u w:val="single"/>
            <w:vertAlign w:val="superscript"/>
          </w:rPr>
          <w:t xml:space="preserve">[150]</w:t>
        </w:r>
      </w:hyperlink>
      <w:bookmarkStart w:id="221" w:name="fnref151"/>
      <w:bookmarkEnd w:id="221"/>
      <w:hyperlink w:anchor="fn151">
        <w:r>
          <w:rPr>
            <w:rFonts w:eastAsia="inter" w:cs="inter" w:ascii="inter" w:hAnsi="inter"/>
            <w:color w:val="#000"/>
            <w:sz w:val="21"/>
            <w:u w:val="single"/>
            <w:vertAlign w:val="superscript"/>
          </w:rPr>
          <w:t xml:space="preserve">[151]</w:t>
        </w:r>
      </w:hyperlink>
    </w:p>
    <w:p>
      <w:pPr>
        <w:spacing w:line="360" w:after="210" w:lineRule="auto"/>
      </w:pPr>
      <w:r>
        <w:rPr>
          <w:rFonts w:eastAsia="inter" w:cs="inter" w:ascii="inter" w:hAnsi="inter"/>
          <w:b/>
          <w:color w:val="000000"/>
        </w:rPr>
        <w:t xml:space="preserve">Cosmic order and measured space:</w:t>
      </w:r>
    </w:p>
    <w:p>
      <w:pPr>
        <w:numPr>
          <w:ilvl w:val="0"/>
          <w:numId w:val="28"/>
        </w:numPr>
        <w:spacing w:line="360" w:before="105" w:after="105" w:lineRule="auto"/>
      </w:pPr>
      <w:r>
        <w:rPr>
          <w:rFonts w:eastAsia="inter" w:cs="inter" w:ascii="inter" w:hAnsi="inter"/>
          <w:color w:val="000000"/>
          <w:sz w:val="21"/>
        </w:rPr>
        <w:t xml:space="preserve">Lozenge bands on palace façades and temple walls served as a </w:t>
      </w:r>
      <w:r>
        <w:rPr>
          <w:rFonts w:eastAsia="inter" w:cs="inter" w:ascii="inter" w:hAnsi="inter"/>
          <w:b/>
          <w:color w:val="000000"/>
          <w:sz w:val="21"/>
        </w:rPr>
        <w:t xml:space="preserve">visual metaphor for cosmic division and proportional rulership</w:t>
      </w:r>
      <w:r>
        <w:rPr>
          <w:rFonts w:eastAsia="inter" w:cs="inter" w:ascii="inter" w:hAnsi="inter"/>
          <w:color w:val="000000"/>
          <w:sz w:val="21"/>
        </w:rPr>
        <w:t xml:space="preserve">—the king or god who ordains these measured geometric divisions is, symbolically, the one who maintains cosmic order itself.</w:t>
      </w:r>
      <w:bookmarkStart w:id="222" w:name="fnref144_1"/>
      <w:bookmarkEnd w:id="222"/>
      <w:hyperlink w:anchor="fn144">
        <w:r>
          <w:rPr>
            <w:rFonts w:eastAsia="inter" w:cs="inter" w:ascii="inter" w:hAnsi="inter"/>
            <w:color w:val="#000"/>
            <w:sz w:val="21"/>
            <w:u w:val="single"/>
            <w:vertAlign w:val="superscript"/>
          </w:rPr>
          <w:t xml:space="preserve">[144]</w:t>
        </w:r>
      </w:hyperlink>
      <w:bookmarkStart w:id="223" w:name="fnref138_2"/>
      <w:bookmarkEnd w:id="223"/>
      <w:hyperlink w:anchor="fn138">
        <w:r>
          <w:rPr>
            <w:rFonts w:eastAsia="inter" w:cs="inter" w:ascii="inter" w:hAnsi="inter"/>
            <w:color w:val="#000"/>
            <w:sz w:val="21"/>
            <w:u w:val="single"/>
            <w:vertAlign w:val="superscript"/>
          </w:rPr>
          <w:t xml:space="preserve">[138]</w:t>
        </w:r>
      </w:hyperlink>
      <w:bookmarkStart w:id="224" w:name="fnref143_1"/>
      <w:bookmarkEnd w:id="224"/>
      <w:hyperlink w:anchor="fn143">
        <w:r>
          <w:rPr>
            <w:rFonts w:eastAsia="inter" w:cs="inter" w:ascii="inter" w:hAnsi="inter"/>
            <w:color w:val="#000"/>
            <w:sz w:val="21"/>
            <w:u w:val="single"/>
            <w:vertAlign w:val="superscript"/>
          </w:rPr>
          <w:t xml:space="preserve">[143]</w:t>
        </w:r>
      </w:hyperlink>
    </w:p>
    <w:p>
      <w:pPr>
        <w:numPr>
          <w:ilvl w:val="0"/>
          <w:numId w:val="28"/>
        </w:numPr>
        <w:spacing w:line="360" w:before="105" w:after="105" w:lineRule="auto"/>
      </w:pPr>
      <w:r>
        <w:rPr>
          <w:rFonts w:eastAsia="inter" w:cs="inter" w:ascii="inter" w:hAnsi="inter"/>
          <w:color w:val="000000"/>
          <w:sz w:val="21"/>
        </w:rPr>
        <w:t xml:space="preserve">Because a lozenge is a square rotated 45°, it visually suggests </w:t>
      </w:r>
      <w:r>
        <w:rPr>
          <w:rFonts w:eastAsia="inter" w:cs="inter" w:ascii="inter" w:hAnsi="inter"/>
          <w:b/>
          <w:color w:val="000000"/>
          <w:sz w:val="21"/>
        </w:rPr>
        <w:t xml:space="preserve">transformation, pivot, and the reconciliation of opposites</w:t>
      </w:r>
      <w:r>
        <w:rPr>
          <w:rFonts w:eastAsia="inter" w:cs="inter" w:ascii="inter" w:hAnsi="inter"/>
          <w:color w:val="000000"/>
          <w:sz w:val="21"/>
        </w:rPr>
        <w:t xml:space="preserve">—making it an ideal symbol for boundary thresholds (between life and death, human and divine, chaos and order) that kings and priests mediated.</w:t>
      </w:r>
      <w:bookmarkStart w:id="225" w:name="fnref136_1"/>
      <w:bookmarkEnd w:id="225"/>
      <w:hyperlink w:anchor="fn136">
        <w:r>
          <w:rPr>
            <w:rFonts w:eastAsia="inter" w:cs="inter" w:ascii="inter" w:hAnsi="inter"/>
            <w:color w:val="#000"/>
            <w:sz w:val="21"/>
            <w:u w:val="single"/>
            <w:vertAlign w:val="superscript"/>
          </w:rPr>
          <w:t xml:space="preserve">[136]</w:t>
        </w:r>
      </w:hyperlink>
      <w:bookmarkStart w:id="226" w:name="fnref137_1"/>
      <w:bookmarkEnd w:id="226"/>
      <w:hyperlink w:anchor="fn137">
        <w:r>
          <w:rPr>
            <w:rFonts w:eastAsia="inter" w:cs="inter" w:ascii="inter" w:hAnsi="inter"/>
            <w:color w:val="#000"/>
            <w:sz w:val="21"/>
            <w:u w:val="single"/>
            <w:vertAlign w:val="superscript"/>
          </w:rPr>
          <w:t xml:space="preserve">[137]</w:t>
        </w:r>
      </w:hyperlink>
      <w:bookmarkStart w:id="227" w:name="fnref144_2"/>
      <w:bookmarkEnd w:id="227"/>
      <w:hyperlink w:anchor="fn144">
        <w:r>
          <w:rPr>
            <w:rFonts w:eastAsia="inter" w:cs="inter" w:ascii="inter" w:hAnsi="inter"/>
            <w:color w:val="#000"/>
            <w:sz w:val="21"/>
            <w:u w:val="single"/>
            <w:vertAlign w:val="superscript"/>
          </w:rPr>
          <w:t xml:space="preserve">[144]</w:t>
        </w:r>
      </w:hyperlink>
    </w:p>
    <w:p>
      <w:pPr>
        <w:spacing w:line="360" w:before="315" w:after="105" w:lineRule="auto"/>
        <w:ind w:left="-30"/>
        <w:jc w:val="left"/>
      </w:pPr>
      <w:bookmarkStart w:id="228" w:name="practical_and_ceremonial_contexts"/>
      <w:r>
        <w:rPr>
          <w:rFonts w:eastAsia="inter" w:cs="inter" w:ascii="inter" w:hAnsi="inter"/>
          <w:b/>
          <w:color w:val="000000"/>
          <w:sz w:val="24"/>
        </w:rPr>
        <w:t xml:space="preserve">Practical and Ceremonial Contexts</w:t>
      </w:r>
      <w:bookmarkEnd w:id="228"/>
    </w:p>
    <w:p>
      <w:pPr>
        <w:numPr>
          <w:ilvl w:val="0"/>
          <w:numId w:val="29"/>
        </w:numPr>
        <w:spacing w:line="360" w:after="210" w:lineRule="auto"/>
      </w:pPr>
      <w:r>
        <w:rPr>
          <w:rFonts w:eastAsia="inter" w:cs="inter" w:ascii="inter" w:hAnsi="inter"/>
          <w:b/>
          <w:color w:val="000000"/>
          <w:sz w:val="21"/>
        </w:rPr>
        <w:t xml:space="preserve">Processional thresholds:</w:t>
      </w:r>
      <w:r>
        <w:rPr>
          <w:rFonts w:eastAsia="inter" w:cs="inter" w:ascii="inter" w:hAnsi="inter"/>
          <w:color w:val="000000"/>
          <w:sz w:val="21"/>
        </w:rPr>
        <w:t xml:space="preserve"> Lozenge-decorated gateways, doorways, and processional strips (like those on approaches to temple sanctuaries) marked the </w:t>
      </w:r>
      <w:r>
        <w:rPr>
          <w:rFonts w:eastAsia="inter" w:cs="inter" w:ascii="inter" w:hAnsi="inter"/>
          <w:b/>
          <w:color w:val="000000"/>
          <w:sz w:val="21"/>
        </w:rPr>
        <w:t xml:space="preserve">transition from secular to sacred space</w:t>
      </w:r>
      <w:r>
        <w:rPr>
          <w:rFonts w:eastAsia="inter" w:cs="inter" w:ascii="inter" w:hAnsi="inter"/>
          <w:color w:val="000000"/>
          <w:sz w:val="21"/>
        </w:rPr>
        <w:t xml:space="preserve">, with the repeated diamonds functioning as a ritual "checkered passage" that oriented and prepared the visitor for entry into divine precincts.</w:t>
      </w:r>
      <w:bookmarkStart w:id="229" w:name="fnref140_2"/>
      <w:bookmarkEnd w:id="229"/>
      <w:hyperlink w:anchor="fn140">
        <w:r>
          <w:rPr>
            <w:rFonts w:eastAsia="inter" w:cs="inter" w:ascii="inter" w:hAnsi="inter"/>
            <w:color w:val="#000"/>
            <w:sz w:val="21"/>
            <w:u w:val="single"/>
            <w:vertAlign w:val="superscript"/>
          </w:rPr>
          <w:t xml:space="preserve">[140]</w:t>
        </w:r>
      </w:hyperlink>
      <w:bookmarkStart w:id="230" w:name="fnref138_3"/>
      <w:bookmarkEnd w:id="230"/>
      <w:hyperlink w:anchor="fn138">
        <w:r>
          <w:rPr>
            <w:rFonts w:eastAsia="inter" w:cs="inter" w:ascii="inter" w:hAnsi="inter"/>
            <w:color w:val="#000"/>
            <w:sz w:val="21"/>
            <w:u w:val="single"/>
            <w:vertAlign w:val="superscript"/>
          </w:rPr>
          <w:t xml:space="preserve">[138]</w:t>
        </w:r>
      </w:hyperlink>
      <w:bookmarkStart w:id="231" w:name="fnref139_2"/>
      <w:bookmarkEnd w:id="231"/>
      <w:hyperlink w:anchor="fn139">
        <w:r>
          <w:rPr>
            <w:rFonts w:eastAsia="inter" w:cs="inter" w:ascii="inter" w:hAnsi="inter"/>
            <w:color w:val="#000"/>
            <w:sz w:val="21"/>
            <w:u w:val="single"/>
            <w:vertAlign w:val="superscript"/>
          </w:rPr>
          <w:t xml:space="preserve">[139]</w:t>
        </w:r>
      </w:hyperlink>
    </w:p>
    <w:p>
      <w:pPr>
        <w:numPr>
          <w:ilvl w:val="0"/>
          <w:numId w:val="29"/>
        </w:numPr>
        <w:spacing w:line="360" w:after="210" w:lineRule="auto"/>
      </w:pPr>
      <w:r>
        <w:rPr>
          <w:rFonts w:eastAsia="inter" w:cs="inter" w:ascii="inter" w:hAnsi="inter"/>
          <w:b/>
          <w:color w:val="000000"/>
          <w:sz w:val="21"/>
        </w:rPr>
        <w:t xml:space="preserve">Seal and administrative identity:</w:t>
      </w:r>
      <w:r>
        <w:rPr>
          <w:rFonts w:eastAsia="inter" w:cs="inter" w:ascii="inter" w:hAnsi="inter"/>
          <w:color w:val="000000"/>
          <w:sz w:val="21"/>
        </w:rPr>
        <w:t xml:space="preserve"> On cylinder seals and clay stamps, lozenge and diamond patterns served as part of the </w:t>
      </w:r>
      <w:r>
        <w:rPr>
          <w:rFonts w:eastAsia="inter" w:cs="inter" w:ascii="inter" w:hAnsi="inter"/>
          <w:b/>
          <w:color w:val="000000"/>
          <w:sz w:val="21"/>
        </w:rPr>
        <w:t xml:space="preserve">sigil or "signature"</w:t>
      </w:r>
      <w:r>
        <w:rPr>
          <w:rFonts w:eastAsia="inter" w:cs="inter" w:ascii="inter" w:hAnsi="inter"/>
          <w:color w:val="000000"/>
          <w:sz w:val="21"/>
        </w:rPr>
        <w:t xml:space="preserve"> of a temple, palace, or official, making the geometric pattern itself a bearer of institutional identity and authority.</w:t>
      </w:r>
      <w:bookmarkStart w:id="232" w:name="fnref150_1"/>
      <w:bookmarkEnd w:id="232"/>
      <w:hyperlink w:anchor="fn150">
        <w:r>
          <w:rPr>
            <w:rFonts w:eastAsia="inter" w:cs="inter" w:ascii="inter" w:hAnsi="inter"/>
            <w:color w:val="#000"/>
            <w:sz w:val="21"/>
            <w:u w:val="single"/>
            <w:vertAlign w:val="superscript"/>
          </w:rPr>
          <w:t xml:space="preserve">[150]</w:t>
        </w:r>
      </w:hyperlink>
      <w:bookmarkStart w:id="233" w:name="fnref151_1"/>
      <w:bookmarkEnd w:id="233"/>
      <w:hyperlink w:anchor="fn151">
        <w:r>
          <w:rPr>
            <w:rFonts w:eastAsia="inter" w:cs="inter" w:ascii="inter" w:hAnsi="inter"/>
            <w:color w:val="#000"/>
            <w:sz w:val="21"/>
            <w:u w:val="single"/>
            <w:vertAlign w:val="superscript"/>
          </w:rPr>
          <w:t xml:space="preserve">[151]</w:t>
        </w:r>
      </w:hyperlink>
      <w:bookmarkStart w:id="234" w:name="fnref152"/>
      <w:bookmarkEnd w:id="234"/>
      <w:hyperlink w:anchor="fn152">
        <w:r>
          <w:rPr>
            <w:rFonts w:eastAsia="inter" w:cs="inter" w:ascii="inter" w:hAnsi="inter"/>
            <w:color w:val="#000"/>
            <w:sz w:val="21"/>
            <w:u w:val="single"/>
            <w:vertAlign w:val="superscript"/>
          </w:rPr>
          <w:t xml:space="preserve">[152]</w:t>
        </w:r>
      </w:hyperlink>
    </w:p>
    <w:p>
      <w:pPr>
        <w:spacing w:line="360" w:after="210" w:lineRule="auto"/>
      </w:pPr>
      <w:r>
        <w:rPr>
          <w:rFonts w:eastAsia="inter" w:cs="inter" w:ascii="inter" w:hAnsi="inter"/>
          <w:color w:val="000000"/>
        </w:rPr>
        <w:t xml:space="preserve">In all these contexts, lozenges were never merely "pretty"—they </w:t>
      </w:r>
      <w:r>
        <w:rPr>
          <w:rFonts w:eastAsia="inter" w:cs="inter" w:ascii="inter" w:hAnsi="inter"/>
          <w:b/>
          <w:color w:val="000000"/>
        </w:rPr>
        <w:t xml:space="preserve">organized space</w:t>
      </w:r>
      <w:r>
        <w:rPr>
          <w:rFonts w:eastAsia="inter" w:cs="inter" w:ascii="inter" w:hAnsi="inter"/>
          <w:color w:val="000000"/>
        </w:rPr>
        <w:t xml:space="preserve">, </w:t>
      </w:r>
      <w:r>
        <w:rPr>
          <w:rFonts w:eastAsia="inter" w:cs="inter" w:ascii="inter" w:hAnsi="inter"/>
          <w:b/>
          <w:color w:val="000000"/>
        </w:rPr>
        <w:t xml:space="preserve">marked hierarchy</w:t>
      </w:r>
      <w:r>
        <w:rPr>
          <w:rFonts w:eastAsia="inter" w:cs="inter" w:ascii="inter" w:hAnsi="inter"/>
          <w:color w:val="000000"/>
        </w:rPr>
        <w:t xml:space="preserve">, and </w:t>
      </w:r>
      <w:r>
        <w:rPr>
          <w:rFonts w:eastAsia="inter" w:cs="inter" w:ascii="inter" w:hAnsi="inter"/>
          <w:b/>
          <w:color w:val="000000"/>
        </w:rPr>
        <w:t xml:space="preserve">communicated that the realm they decorated was under divine and sovereign control</w:t>
      </w:r>
      <w:r>
        <w:rPr>
          <w:rFonts w:eastAsia="inter" w:cs="inter" w:ascii="inter" w:hAnsi="inter"/>
          <w:color w:val="000000"/>
        </w:rPr>
        <w:t xml:space="preserve">, turning architecture itself into a visual language of order and protection.</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35" w:name="fn1"/>
    <w:bookmarkEnd w:id="235"/>
    <w:p>
      <w:pPr>
        <w:numPr>
          <w:ilvl w:val="0"/>
          <w:numId w:val="31"/>
        </w:numPr>
        <w:spacing w:line="360" w:after="210" w:lineRule="auto"/>
      </w:pPr>
      <w:hyperlink r:id="rId6">
        <w:r>
          <w:rPr>
            <w:rFonts w:eastAsia="inter" w:cs="inter" w:ascii="inter" w:hAnsi="inter"/>
            <w:color w:val="#000"/>
            <w:sz w:val="18"/>
            <w:u w:val="single"/>
          </w:rPr>
          <w:t xml:space="preserve">https://mythlok.com/category/hybrids/asian-hybrids/mesopotamian-hybrids/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36" w:name="fn2"/>
    <w:bookmarkEnd w:id="236"/>
    <w:p>
      <w:pPr>
        <w:numPr>
          <w:ilvl w:val="0"/>
          <w:numId w:val="31"/>
        </w:numPr>
        <w:spacing w:line="360" w:after="210" w:lineRule="auto"/>
      </w:pPr>
      <w:hyperlink r:id="rId7">
        <w:r>
          <w:rPr>
            <w:rFonts w:eastAsia="inter" w:cs="inter" w:ascii="inter" w:hAnsi="inter"/>
            <w:color w:val="#000"/>
            <w:sz w:val="18"/>
            <w:u w:val="single"/>
          </w:rPr>
          <w:t xml:space="preserve">https://www.academia.edu/52381274/Composite_animals_in_Mesopotamia_as_cultural_symbols</w:t>
        </w:r>
      </w:hyperlink>
      <w:r>
        <w:rPr>
          <w:rFonts w:eastAsia="inter" w:cs="inter" w:ascii="inter" w:hAnsi="inter"/>
          <w:color w:val="000000"/>
          <w:sz w:val="18"/>
        </w:rPr>
        <w:t xml:space="preserve"> </w:t>
      </w:r>
    </w:p>
    <w:bookmarkStart w:id="237" w:name="fn3"/>
    <w:bookmarkEnd w:id="237"/>
    <w:p>
      <w:pPr>
        <w:numPr>
          <w:ilvl w:val="0"/>
          <w:numId w:val="31"/>
        </w:numPr>
        <w:spacing w:line="360" w:after="210" w:lineRule="auto"/>
      </w:pPr>
      <w:hyperlink r:id="rId8">
        <w:r>
          <w:rPr>
            <w:rFonts w:eastAsia="inter" w:cs="inter" w:ascii="inter" w:hAnsi="inter"/>
            <w:color w:val="#000"/>
            <w:sz w:val="18"/>
            <w:u w:val="single"/>
          </w:rPr>
          <w:t xml:space="preserve">https://escholarship.org/content/qt3p25f7wk/qt3p25f7wk_noSplash_6013045d9cb706dfb3fc07646ae120ec.pdf</w:t>
        </w:r>
      </w:hyperlink>
      <w:r>
        <w:rPr>
          <w:rFonts w:eastAsia="inter" w:cs="inter" w:ascii="inter" w:hAnsi="inter"/>
          <w:color w:val="000000"/>
          <w:sz w:val="18"/>
        </w:rPr>
        <w:t xml:space="preserve"> </w:t>
      </w:r>
    </w:p>
    <w:bookmarkStart w:id="238" w:name="fn4"/>
    <w:bookmarkEnd w:id="238"/>
    <w:p>
      <w:pPr>
        <w:numPr>
          <w:ilvl w:val="0"/>
          <w:numId w:val="31"/>
        </w:numPr>
        <w:spacing w:line="360" w:after="210" w:lineRule="auto"/>
      </w:pPr>
      <w:hyperlink r:id="rId9">
        <w:r>
          <w:rPr>
            <w:rFonts w:eastAsia="inter" w:cs="inter" w:ascii="inter" w:hAnsi="inter"/>
            <w:color w:val="#000"/>
            <w:sz w:val="18"/>
            <w:u w:val="single"/>
          </w:rPr>
          <w:t xml:space="preserve">https://www.paintingportraits.art/portraits-of-the-divine-religious-and-mythological-figures-in-art/</w:t>
        </w:r>
      </w:hyperlink>
      <w:r>
        <w:rPr>
          <w:rFonts w:eastAsia="inter" w:cs="inter" w:ascii="inter" w:hAnsi="inter"/>
          <w:color w:val="000000"/>
          <w:sz w:val="18"/>
        </w:rPr>
        <w:t xml:space="preserve"> </w:t>
      </w:r>
    </w:p>
    <w:bookmarkStart w:id="239" w:name="fn5"/>
    <w:bookmarkEnd w:id="239"/>
    <w:p>
      <w:pPr>
        <w:numPr>
          <w:ilvl w:val="0"/>
          <w:numId w:val="31"/>
        </w:numPr>
        <w:spacing w:line="360" w:after="210" w:lineRule="auto"/>
      </w:pPr>
      <w:hyperlink r:id="rId10">
        <w:r>
          <w:rPr>
            <w:rFonts w:eastAsia="inter" w:cs="inter" w:ascii="inter" w:hAnsi="inter"/>
            <w:color w:val="#000"/>
            <w:sz w:val="18"/>
            <w:u w:val="single"/>
          </w:rPr>
          <w:t xml:space="preserve">https://www.readingmuseum.org.uk/blog/sacred-animals-ancient-egypt</w:t>
        </w:r>
      </w:hyperlink>
      <w:r>
        <w:rPr>
          <w:rFonts w:eastAsia="inter" w:cs="inter" w:ascii="inter" w:hAnsi="inter"/>
          <w:color w:val="000000"/>
          <w:sz w:val="18"/>
        </w:rPr>
        <w:t xml:space="preserve"> </w:t>
      </w:r>
    </w:p>
    <w:bookmarkStart w:id="240" w:name="fn6"/>
    <w:bookmarkEnd w:id="240"/>
    <w:p>
      <w:pPr>
        <w:numPr>
          <w:ilvl w:val="0"/>
          <w:numId w:val="31"/>
        </w:numPr>
        <w:spacing w:line="360" w:after="210" w:lineRule="auto"/>
      </w:pPr>
      <w:hyperlink r:id="rId11">
        <w:r>
          <w:rPr>
            <w:rFonts w:eastAsia="inter" w:cs="inter" w:ascii="inter" w:hAnsi="inter"/>
            <w:color w:val="#000"/>
            <w:sz w:val="18"/>
            <w:u w:val="single"/>
          </w:rPr>
          <w:t xml:space="preserve">https://writeups.talesfromthetwolands.org/2022/03/18/understanding-composite-forms-of-egyptian-divine-beings-jordan-miller/</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41" w:name="fn7"/>
    <w:bookmarkEnd w:id="241"/>
    <w:p>
      <w:pPr>
        <w:numPr>
          <w:ilvl w:val="0"/>
          <w:numId w:val="31"/>
        </w:numPr>
        <w:spacing w:line="360" w:after="210" w:lineRule="auto"/>
      </w:pPr>
      <w:hyperlink r:id="rId12">
        <w:r>
          <w:rPr>
            <w:rFonts w:eastAsia="inter" w:cs="inter" w:ascii="inter" w:hAnsi="inter"/>
            <w:color w:val="#000"/>
            <w:sz w:val="18"/>
            <w:u w:val="single"/>
          </w:rPr>
          <w:t xml:space="preserve">https://smarthistory.org/creation-myths-and-forms-of-the-gods-in-ancient-egypt/</w:t>
        </w:r>
      </w:hyperlink>
      <w:r>
        <w:rPr>
          <w:rFonts w:eastAsia="inter" w:cs="inter" w:ascii="inter" w:hAnsi="inter"/>
          <w:color w:val="000000"/>
          <w:sz w:val="18"/>
        </w:rPr>
        <w:t xml:space="preserve"> </w:t>
      </w:r>
    </w:p>
    <w:bookmarkStart w:id="242" w:name="fn8"/>
    <w:bookmarkEnd w:id="242"/>
    <w:p>
      <w:pPr>
        <w:numPr>
          <w:ilvl w:val="0"/>
          <w:numId w:val="31"/>
        </w:numPr>
        <w:spacing w:line="360" w:after="210" w:lineRule="auto"/>
      </w:pPr>
      <w:hyperlink r:id="rId13">
        <w:r>
          <w:rPr>
            <w:rFonts w:eastAsia="inter" w:cs="inter" w:ascii="inter" w:hAnsi="inter"/>
            <w:color w:val="#000"/>
            <w:sz w:val="18"/>
            <w:u w:val="single"/>
          </w:rPr>
          <w:t xml:space="preserve">https://www.ancient-origins.net/myths-legends/hermanubis-0020153</w:t>
        </w:r>
      </w:hyperlink>
      <w:r>
        <w:rPr>
          <w:rFonts w:eastAsia="inter" w:cs="inter" w:ascii="inter" w:hAnsi="inter"/>
          <w:color w:val="000000"/>
          <w:sz w:val="18"/>
        </w:rPr>
        <w:t xml:space="preserve"> </w:t>
      </w:r>
    </w:p>
    <w:bookmarkStart w:id="243" w:name="fn9"/>
    <w:bookmarkEnd w:id="243"/>
    <w:p>
      <w:pPr>
        <w:numPr>
          <w:ilvl w:val="0"/>
          <w:numId w:val="31"/>
        </w:numPr>
        <w:spacing w:line="360" w:after="210" w:lineRule="auto"/>
      </w:pPr>
      <w:hyperlink r:id="rId14">
        <w:r>
          <w:rPr>
            <w:rFonts w:eastAsia="inter" w:cs="inter" w:ascii="inter" w:hAnsi="inter"/>
            <w:color w:val="#000"/>
            <w:sz w:val="18"/>
            <w:u w:val="single"/>
          </w:rPr>
          <w:t xml:space="preserve">https://en.wikipedia.org/wiki/Master_of_Animals</w:t>
        </w:r>
      </w:hyperlink>
      <w:r>
        <w:rPr>
          <w:rFonts w:eastAsia="inter" w:cs="inter" w:ascii="inter" w:hAnsi="inter"/>
          <w:color w:val="000000"/>
          <w:sz w:val="18"/>
        </w:rPr>
        <w:t xml:space="preserve"> </w:t>
      </w:r>
    </w:p>
    <w:bookmarkStart w:id="244" w:name="fn10"/>
    <w:bookmarkEnd w:id="244"/>
    <w:p>
      <w:pPr>
        <w:numPr>
          <w:ilvl w:val="0"/>
          <w:numId w:val="31"/>
        </w:numPr>
        <w:spacing w:line="360" w:after="210" w:lineRule="auto"/>
      </w:pPr>
      <w:hyperlink r:id="rId15">
        <w:r>
          <w:rPr>
            <w:rFonts w:eastAsia="inter" w:cs="inter" w:ascii="inter" w:hAnsi="inter"/>
            <w:color w:val="#000"/>
            <w:sz w:val="18"/>
            <w:u w:val="single"/>
          </w:rPr>
          <w:t xml:space="preserve">https://en.wikipedia.org/wiki/Ancient_Egyptian_religion</w:t>
        </w:r>
      </w:hyperlink>
      <w:r>
        <w:rPr>
          <w:rFonts w:eastAsia="inter" w:cs="inter" w:ascii="inter" w:hAnsi="inter"/>
          <w:color w:val="000000"/>
          <w:sz w:val="18"/>
        </w:rPr>
        <w:t xml:space="preserve"> </w:t>
      </w:r>
    </w:p>
    <w:bookmarkStart w:id="245" w:name="fn11"/>
    <w:bookmarkEnd w:id="245"/>
    <w:p>
      <w:pPr>
        <w:numPr>
          <w:ilvl w:val="0"/>
          <w:numId w:val="31"/>
        </w:numPr>
        <w:spacing w:line="360" w:after="210" w:lineRule="auto"/>
      </w:pPr>
      <w:hyperlink r:id="rId16">
        <w:r>
          <w:rPr>
            <w:rFonts w:eastAsia="inter" w:cs="inter" w:ascii="inter" w:hAnsi="inter"/>
            <w:color w:val="#000"/>
            <w:sz w:val="18"/>
            <w:u w:val="single"/>
          </w:rPr>
          <w:t xml:space="preserve">https://bop.unibe.ch/index.php/baf/article/view/3514/0</w:t>
        </w:r>
      </w:hyperlink>
      <w:r>
        <w:rPr>
          <w:rFonts w:eastAsia="inter" w:cs="inter" w:ascii="inter" w:hAnsi="inter"/>
          <w:color w:val="000000"/>
          <w:sz w:val="18"/>
        </w:rPr>
        <w:t xml:space="preserve"> </w:t>
      </w:r>
    </w:p>
    <w:bookmarkStart w:id="246" w:name="fn12"/>
    <w:bookmarkEnd w:id="246"/>
    <w:p>
      <w:pPr>
        <w:numPr>
          <w:ilvl w:val="0"/>
          <w:numId w:val="31"/>
        </w:numPr>
        <w:spacing w:line="360" w:after="210" w:lineRule="auto"/>
      </w:pPr>
      <w:hyperlink r:id="rId17">
        <w:r>
          <w:rPr>
            <w:rFonts w:eastAsia="inter" w:cs="inter" w:ascii="inter" w:hAnsi="inter"/>
            <w:color w:val="#000"/>
            <w:sz w:val="18"/>
            <w:u w:val="single"/>
          </w:rPr>
          <w:t xml:space="preserve">https://www.egypttoursportal.com/en-us/ancient-egyptian-mathematics/</w:t>
        </w:r>
      </w:hyperlink>
      <w:r>
        <w:rPr>
          <w:rFonts w:eastAsia="inter" w:cs="inter" w:ascii="inter" w:hAnsi="inter"/>
          <w:color w:val="000000"/>
          <w:sz w:val="18"/>
        </w:rPr>
        <w:t xml:space="preserve"> </w:t>
      </w:r>
    </w:p>
    <w:bookmarkStart w:id="247" w:name="fn13"/>
    <w:bookmarkEnd w:id="247"/>
    <w:p>
      <w:pPr>
        <w:numPr>
          <w:ilvl w:val="0"/>
          <w:numId w:val="31"/>
        </w:numPr>
        <w:spacing w:line="360" w:after="210" w:lineRule="auto"/>
      </w:pPr>
      <w:hyperlink r:id="rId18">
        <w:r>
          <w:rPr>
            <w:rFonts w:eastAsia="inter" w:cs="inter" w:ascii="inter" w:hAnsi="inter"/>
            <w:color w:val="#000"/>
            <w:sz w:val="18"/>
            <w:u w:val="single"/>
          </w:rPr>
          <w:t xml:space="preserve">compare-rosette-motifs-across-zxFYM87PTEqZ8ptjvsbd9w.md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8" w:name="fn14"/>
    <w:bookmarkEnd w:id="248"/>
    <w:p>
      <w:pPr>
        <w:numPr>
          <w:ilvl w:val="0"/>
          <w:numId w:val="31"/>
        </w:numPr>
        <w:spacing w:line="360" w:after="210" w:lineRule="auto"/>
      </w:pPr>
      <w:hyperlink r:id="rId19">
        <w:r>
          <w:rPr>
            <w:rFonts w:eastAsia="inter" w:cs="inter" w:ascii="inter" w:hAnsi="inter"/>
            <w:color w:val="#000"/>
            <w:sz w:val="18"/>
            <w:u w:val="single"/>
          </w:rPr>
          <w:t xml:space="preserve">http://arthistoryresources.net/greek-art-archaeology-2016/geometric-pottery.html</w:t>
        </w:r>
      </w:hyperlink>
      <w:r>
        <w:rPr>
          <w:rFonts w:eastAsia="inter" w:cs="inter" w:ascii="inter" w:hAnsi="inter"/>
          <w:color w:val="000000"/>
          <w:sz w:val="18"/>
        </w:rPr>
        <w:t xml:space="preserve"> </w:t>
      </w:r>
    </w:p>
    <w:bookmarkStart w:id="249" w:name="fn15"/>
    <w:bookmarkEnd w:id="249"/>
    <w:p>
      <w:pPr>
        <w:numPr>
          <w:ilvl w:val="0"/>
          <w:numId w:val="31"/>
        </w:numPr>
        <w:spacing w:line="360" w:after="210" w:lineRule="auto"/>
      </w:pPr>
      <w:hyperlink r:id="rId20">
        <w:r>
          <w:rPr>
            <w:rFonts w:eastAsia="inter" w:cs="inter" w:ascii="inter" w:hAnsi="inter"/>
            <w:color w:val="#000"/>
            <w:sz w:val="18"/>
            <w:u w:val="single"/>
          </w:rPr>
          <w:t xml:space="preserve">https://www.hellenic-art.com/hellenipedia/geometric-pottery/</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50" w:name="fn16"/>
    <w:bookmarkEnd w:id="250"/>
    <w:p>
      <w:pPr>
        <w:numPr>
          <w:ilvl w:val="0"/>
          <w:numId w:val="31"/>
        </w:numPr>
        <w:spacing w:line="360" w:after="210" w:lineRule="auto"/>
      </w:pPr>
      <w:hyperlink r:id="rId21">
        <w:r>
          <w:rPr>
            <w:rFonts w:eastAsia="inter" w:cs="inter" w:ascii="inter" w:hAnsi="inter"/>
            <w:color w:val="#000"/>
            <w:sz w:val="18"/>
            <w:u w:val="single"/>
          </w:rPr>
          <w:t xml:space="preserve">https://www.colorado.edu/classics/2018/06/14/geometric-period-pottery-and-its-decoration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51" w:name="fn17"/>
    <w:bookmarkEnd w:id="251"/>
    <w:p>
      <w:pPr>
        <w:numPr>
          <w:ilvl w:val="0"/>
          <w:numId w:val="31"/>
        </w:numPr>
        <w:spacing w:line="360" w:after="210" w:lineRule="auto"/>
      </w:pPr>
      <w:r>
        <w:rPr>
          <w:rFonts w:eastAsia="inter" w:cs="inter" w:ascii="inter" w:hAnsi="inter"/>
          <w:color w:val="000000"/>
          <w:sz w:val="18"/>
        </w:rPr>
        <w:t xml:space="preserve">symbolic-meanings-of-ishtar-ro-4K67U3VGSEu0S_fPHwNHMA.md </w:t>
      </w:r>
    </w:p>
    <w:bookmarkStart w:id="252" w:name="fn18"/>
    <w:bookmarkEnd w:id="252"/>
    <w:p>
      <w:pPr>
        <w:numPr>
          <w:ilvl w:val="0"/>
          <w:numId w:val="31"/>
        </w:numPr>
        <w:spacing w:line="360" w:after="210" w:lineRule="auto"/>
      </w:pPr>
      <w:hyperlink r:id="rId22">
        <w:r>
          <w:rPr>
            <w:rFonts w:eastAsia="inter" w:cs="inter" w:ascii="inter" w:hAnsi="inter"/>
            <w:color w:val="#000"/>
            <w:sz w:val="18"/>
            <w:u w:val="single"/>
          </w:rPr>
          <w:t xml:space="preserve">technical-steps-to-geometrical-Jby6ZuPBRJuvVoXrTSGBaA.md</w:t>
        </w:r>
      </w:hyperlink>
      <w:r>
        <w:rPr>
          <w:rFonts w:eastAsia="inter" w:cs="inter" w:ascii="inter" w:hAnsi="inter"/>
          <w:color w:val="000000"/>
          <w:sz w:val="18"/>
        </w:rPr>
        <w:t xml:space="preserve"> </w:t>
      </w:r>
    </w:p>
    <w:bookmarkStart w:id="253" w:name="fn19"/>
    <w:bookmarkEnd w:id="253"/>
    <w:p>
      <w:pPr>
        <w:numPr>
          <w:ilvl w:val="0"/>
          <w:numId w:val="31"/>
        </w:numPr>
        <w:spacing w:line="360" w:after="210" w:lineRule="auto"/>
      </w:pPr>
      <w:hyperlink r:id="rId23">
        <w:r>
          <w:rPr>
            <w:rFonts w:eastAsia="inter" w:cs="inter" w:ascii="inter" w:hAnsi="inter"/>
            <w:color w:val="#000"/>
            <w:sz w:val="18"/>
            <w:u w:val="single"/>
          </w:rPr>
          <w:t xml:space="preserve">https://academic.oup.com/edited-volume/28003/chapter/211761596</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54" w:name="fn20"/>
    <w:bookmarkEnd w:id="254"/>
    <w:p>
      <w:pPr>
        <w:numPr>
          <w:ilvl w:val="0"/>
          <w:numId w:val="31"/>
        </w:numPr>
        <w:spacing w:line="360" w:after="210" w:lineRule="auto"/>
      </w:pPr>
      <w:hyperlink r:id="rId24">
        <w:r>
          <w:rPr>
            <w:rFonts w:eastAsia="inter" w:cs="inter" w:ascii="inter" w:hAnsi="inter"/>
            <w:color w:val="#000"/>
            <w:sz w:val="18"/>
            <w:u w:val="single"/>
          </w:rPr>
          <w:t xml:space="preserve">https://archaeology.org/news/2025/03/05/massive-network-of-ancient-canals-mapped-in-mesopotamia/</w:t>
        </w:r>
      </w:hyperlink>
      <w:r>
        <w:rPr>
          <w:rFonts w:eastAsia="inter" w:cs="inter" w:ascii="inter" w:hAnsi="inter"/>
          <w:color w:val="000000"/>
          <w:sz w:val="18"/>
        </w:rPr>
        <w:t xml:space="preserve"> </w:t>
      </w:r>
    </w:p>
    <w:bookmarkStart w:id="255" w:name="fn21"/>
    <w:bookmarkEnd w:id="255"/>
    <w:p>
      <w:pPr>
        <w:numPr>
          <w:ilvl w:val="0"/>
          <w:numId w:val="31"/>
        </w:numPr>
        <w:spacing w:line="360" w:after="210" w:lineRule="auto"/>
      </w:pPr>
      <w:hyperlink r:id="rId25">
        <w:r>
          <w:rPr>
            <w:rFonts w:eastAsia="inter" w:cs="inter" w:ascii="inter" w:hAnsi="inter"/>
            <w:color w:val="#000"/>
            <w:sz w:val="18"/>
            <w:u w:val="single"/>
          </w:rPr>
          <w:t xml:space="preserve">http://chaz.org/Courses/Nile/Ancient_Hydraulic_Technology.pdf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56" w:name="fn22"/>
    <w:bookmarkEnd w:id="256"/>
    <w:p>
      <w:pPr>
        <w:numPr>
          <w:ilvl w:val="0"/>
          <w:numId w:val="31"/>
        </w:numPr>
        <w:spacing w:line="360" w:after="210" w:lineRule="auto"/>
      </w:pPr>
      <w:hyperlink r:id="rId26">
        <w:r>
          <w:rPr>
            <w:rFonts w:eastAsia="inter" w:cs="inter" w:ascii="inter" w:hAnsi="inter"/>
            <w:color w:val="#000"/>
            <w:sz w:val="18"/>
            <w:u w:val="single"/>
          </w:rPr>
          <w:t xml:space="preserve">https://africame.factsanddetails.com/article/entry-1023.html</w:t>
        </w:r>
      </w:hyperlink>
      <w:r>
        <w:rPr>
          <w:rFonts w:eastAsia="inter" w:cs="inter" w:ascii="inter" w:hAnsi="inter"/>
          <w:color w:val="000000"/>
          <w:sz w:val="18"/>
        </w:rPr>
        <w:t xml:space="preserve"> </w:t>
      </w:r>
    </w:p>
    <w:bookmarkStart w:id="257" w:name="fn23"/>
    <w:bookmarkEnd w:id="257"/>
    <w:p>
      <w:pPr>
        <w:numPr>
          <w:ilvl w:val="0"/>
          <w:numId w:val="31"/>
        </w:numPr>
        <w:spacing w:line="360" w:after="210" w:lineRule="auto"/>
      </w:pPr>
      <w:hyperlink r:id="rId27">
        <w:r>
          <w:rPr>
            <w:rFonts w:eastAsia="inter" w:cs="inter" w:ascii="inter" w:hAnsi="inter"/>
            <w:color w:val="#000"/>
            <w:sz w:val="18"/>
            <w:u w:val="single"/>
          </w:rPr>
          <w:t xml:space="preserve">https://fiveable.me/early-world-civilizations/unit-5/indus-valley-civilization-urban-planning-trade/study-guide/jWb6HD8P6Fs06LcQ</w:t>
        </w:r>
      </w:hyperlink>
      <w:r>
        <w:rPr>
          <w:rFonts w:eastAsia="inter" w:cs="inter" w:ascii="inter" w:hAnsi="inter"/>
          <w:color w:val="000000"/>
          <w:sz w:val="18"/>
        </w:rPr>
        <w:t xml:space="preserve"> </w:t>
      </w:r>
    </w:p>
    <w:bookmarkStart w:id="258" w:name="fn24"/>
    <w:bookmarkEnd w:id="258"/>
    <w:p>
      <w:pPr>
        <w:numPr>
          <w:ilvl w:val="0"/>
          <w:numId w:val="31"/>
        </w:numPr>
        <w:spacing w:line="360" w:after="210" w:lineRule="auto"/>
      </w:pPr>
      <w:hyperlink r:id="rId28">
        <w:r>
          <w:rPr>
            <w:rFonts w:eastAsia="inter" w:cs="inter" w:ascii="inter" w:hAnsi="inter"/>
            <w:color w:val="#000"/>
            <w:sz w:val="18"/>
            <w:u w:val="single"/>
          </w:rPr>
          <w:t xml:space="preserve">https://www.jstage.jst.go.jp/article/jaabe/4/1/4_1_51/_pdf</w:t>
        </w:r>
      </w:hyperlink>
      <w:r>
        <w:rPr>
          <w:rFonts w:eastAsia="inter" w:cs="inter" w:ascii="inter" w:hAnsi="inter"/>
          <w:color w:val="000000"/>
          <w:sz w:val="18"/>
        </w:rPr>
        <w:t xml:space="preserve"> </w:t>
      </w:r>
    </w:p>
    <w:bookmarkStart w:id="259" w:name="fn25"/>
    <w:bookmarkEnd w:id="259"/>
    <w:p>
      <w:pPr>
        <w:numPr>
          <w:ilvl w:val="0"/>
          <w:numId w:val="31"/>
        </w:numPr>
        <w:spacing w:line="360" w:after="210" w:lineRule="auto"/>
      </w:pPr>
      <w:hyperlink r:id="rId29">
        <w:r>
          <w:rPr>
            <w:rFonts w:eastAsia="inter" w:cs="inter" w:ascii="inter" w:hAnsi="inter"/>
            <w:color w:val="#000"/>
            <w:sz w:val="18"/>
            <w:u w:val="single"/>
          </w:rPr>
          <w:t xml:space="preserve">https://shapespaceassociates.com/urban-planning-of-indus-valley-civilization/</w:t>
        </w:r>
      </w:hyperlink>
      <w:r>
        <w:rPr>
          <w:rFonts w:eastAsia="inter" w:cs="inter" w:ascii="inter" w:hAnsi="inter"/>
          <w:color w:val="000000"/>
          <w:sz w:val="18"/>
        </w:rPr>
        <w:t xml:space="preserve"> </w:t>
      </w:r>
    </w:p>
    <w:bookmarkStart w:id="260" w:name="fn26"/>
    <w:bookmarkEnd w:id="260"/>
    <w:p>
      <w:pPr>
        <w:numPr>
          <w:ilvl w:val="0"/>
          <w:numId w:val="31"/>
        </w:numPr>
        <w:spacing w:line="360" w:after="210" w:lineRule="auto"/>
      </w:pPr>
      <w:hyperlink r:id="rId30">
        <w:r>
          <w:rPr>
            <w:rFonts w:eastAsia="inter" w:cs="inter" w:ascii="inter" w:hAnsi="inter"/>
            <w:color w:val="#000"/>
            <w:sz w:val="18"/>
            <w:u w:val="single"/>
          </w:rPr>
          <w:t xml:space="preserve">https://www.linkedin.com/pulse/mathematics-ancient-greek-architecture-morgan-davis-obalim-3kkcf</w:t>
        </w:r>
      </w:hyperlink>
      <w:r>
        <w:rPr>
          <w:rFonts w:eastAsia="inter" w:cs="inter" w:ascii="inter" w:hAnsi="inter"/>
          <w:color w:val="000000"/>
          <w:sz w:val="18"/>
        </w:rPr>
        <w:t xml:space="preserve"> </w:t>
      </w:r>
    </w:p>
    <w:bookmarkStart w:id="261" w:name="fn27"/>
    <w:bookmarkEnd w:id="261"/>
    <w:p>
      <w:pPr>
        <w:numPr>
          <w:ilvl w:val="0"/>
          <w:numId w:val="31"/>
        </w:numPr>
        <w:spacing w:line="360" w:after="210" w:lineRule="auto"/>
      </w:pPr>
      <w:hyperlink r:id="rId31">
        <w:r>
          <w:rPr>
            <w:rFonts w:eastAsia="inter" w:cs="inter" w:ascii="inter" w:hAnsi="inter"/>
            <w:color w:val="#000"/>
            <w:sz w:val="18"/>
            <w:u w:val="single"/>
          </w:rPr>
          <w:t xml:space="preserve">https://visitmath.eu/from-pyramids-to-skyscrapers-the-evolution-of-mathematics-in-architecture/</w:t>
        </w:r>
      </w:hyperlink>
      <w:r>
        <w:rPr>
          <w:rFonts w:eastAsia="inter" w:cs="inter" w:ascii="inter" w:hAnsi="inter"/>
          <w:color w:val="000000"/>
          <w:sz w:val="18"/>
        </w:rPr>
        <w:t xml:space="preserve"> </w:t>
      </w:r>
    </w:p>
    <w:bookmarkStart w:id="262" w:name="fn28"/>
    <w:bookmarkEnd w:id="262"/>
    <w:p>
      <w:pPr>
        <w:numPr>
          <w:ilvl w:val="0"/>
          <w:numId w:val="31"/>
        </w:numPr>
        <w:spacing w:line="360" w:after="210" w:lineRule="auto"/>
      </w:pPr>
      <w:hyperlink r:id="rId32">
        <w:r>
          <w:rPr>
            <w:rFonts w:eastAsia="inter" w:cs="inter" w:ascii="inter" w:hAnsi="inter"/>
            <w:color w:val="#000"/>
            <w:sz w:val="18"/>
            <w:u w:val="single"/>
          </w:rPr>
          <w:t xml:space="preserve">combine-all-the-information-in-O5QgeP6.QRiysB9v7Ab4AQ.md</w:t>
        </w:r>
      </w:hyperlink>
      <w:r>
        <w:rPr>
          <w:rFonts w:eastAsia="inter" w:cs="inter" w:ascii="inter" w:hAnsi="inter"/>
          <w:color w:val="000000"/>
          <w:sz w:val="18"/>
        </w:rPr>
        <w:t xml:space="preserve"> </w:t>
      </w:r>
    </w:p>
    <w:bookmarkStart w:id="263" w:name="fn29"/>
    <w:bookmarkEnd w:id="263"/>
    <w:p>
      <w:pPr>
        <w:numPr>
          <w:ilvl w:val="0"/>
          <w:numId w:val="31"/>
        </w:numPr>
        <w:spacing w:line="360" w:after="210" w:lineRule="auto"/>
      </w:pPr>
      <w:hyperlink r:id="rId33">
        <w:r>
          <w:rPr>
            <w:rFonts w:eastAsia="inter" w:cs="inter" w:ascii="inter" w:hAnsi="inter"/>
            <w:color w:val="#000"/>
            <w:sz w:val="18"/>
            <w:u w:val="single"/>
          </w:rPr>
          <w:t xml:space="preserve">i-need-a-history-of-the-relati-9KqK8BWSTe2NHs7FpPYiuA.md</w:t>
        </w:r>
      </w:hyperlink>
      <w:r>
        <w:rPr>
          <w:rFonts w:eastAsia="inter" w:cs="inter" w:ascii="inter" w:hAnsi="inter"/>
          <w:color w:val="000000"/>
          <w:sz w:val="18"/>
        </w:rPr>
        <w:t xml:space="preserve"> </w:t>
      </w:r>
    </w:p>
    <w:bookmarkStart w:id="264" w:name="fn30"/>
    <w:bookmarkEnd w:id="264"/>
    <w:p>
      <w:pPr>
        <w:numPr>
          <w:ilvl w:val="0"/>
          <w:numId w:val="31"/>
        </w:numPr>
        <w:spacing w:line="360" w:after="210" w:lineRule="auto"/>
      </w:pPr>
      <w:hyperlink r:id="rId34">
        <w:r>
          <w:rPr>
            <w:rFonts w:eastAsia="inter" w:cs="inter" w:ascii="inter" w:hAnsi="inter"/>
            <w:color w:val="#000"/>
            <w:sz w:val="18"/>
            <w:u w:val="single"/>
          </w:rPr>
          <w:t xml:space="preserve">https://en.wikipedia.org/wiki/List_of_Mesopotamian_deities</w:t>
        </w:r>
      </w:hyperlink>
      <w:r>
        <w:rPr>
          <w:rFonts w:eastAsia="inter" w:cs="inter" w:ascii="inter" w:hAnsi="inter"/>
          <w:color w:val="000000"/>
          <w:sz w:val="18"/>
        </w:rPr>
        <w:t xml:space="preserve"> </w:t>
      </w:r>
    </w:p>
    <w:bookmarkStart w:id="265" w:name="fn31"/>
    <w:bookmarkEnd w:id="265"/>
    <w:p>
      <w:pPr>
        <w:numPr>
          <w:ilvl w:val="0"/>
          <w:numId w:val="31"/>
        </w:numPr>
        <w:spacing w:line="360" w:after="210" w:lineRule="auto"/>
      </w:pPr>
      <w:hyperlink r:id="rId35">
        <w:r>
          <w:rPr>
            <w:rFonts w:eastAsia="inter" w:cs="inter" w:ascii="inter" w:hAnsi="inter"/>
            <w:color w:val="#000"/>
            <w:sz w:val="18"/>
            <w:u w:val="single"/>
          </w:rPr>
          <w:t xml:space="preserve">https://www.cambridge.org/core/books/gods-and-humans-in-the-ancient-near-east/composite-beings-and-sexy-godkings/1F2BB23D3B707AB32ACEEA8EA27ED971</w:t>
        </w:r>
      </w:hyperlink>
      <w:r>
        <w:rPr>
          <w:rFonts w:eastAsia="inter" w:cs="inter" w:ascii="inter" w:hAnsi="inter"/>
          <w:color w:val="000000"/>
          <w:sz w:val="18"/>
        </w:rPr>
        <w:t xml:space="preserve"> </w:t>
      </w:r>
    </w:p>
    <w:bookmarkStart w:id="266" w:name="fn32"/>
    <w:bookmarkEnd w:id="266"/>
    <w:p>
      <w:pPr>
        <w:numPr>
          <w:ilvl w:val="0"/>
          <w:numId w:val="31"/>
        </w:numPr>
        <w:spacing w:line="360" w:after="210" w:lineRule="auto"/>
      </w:pPr>
      <w:hyperlink r:id="rId36">
        <w:r>
          <w:rPr>
            <w:rFonts w:eastAsia="inter" w:cs="inter" w:ascii="inter" w:hAnsi="inter"/>
            <w:color w:val="#000"/>
            <w:sz w:val="18"/>
            <w:u w:val="single"/>
          </w:rPr>
          <w:t xml:space="preserve">https://www.wef.org/publications/news/wef-news/discovering-an-ancient-hydraulic-system-rewrites-chinese-engineering-history/</w:t>
        </w:r>
      </w:hyperlink>
      <w:r>
        <w:rPr>
          <w:rFonts w:eastAsia="inter" w:cs="inter" w:ascii="inter" w:hAnsi="inter"/>
          <w:color w:val="000000"/>
          <w:sz w:val="18"/>
        </w:rPr>
        <w:t xml:space="preserve"> </w:t>
      </w:r>
    </w:p>
    <w:bookmarkStart w:id="267" w:name="fn33"/>
    <w:bookmarkEnd w:id="267"/>
    <w:p>
      <w:pPr>
        <w:numPr>
          <w:ilvl w:val="0"/>
          <w:numId w:val="31"/>
        </w:numPr>
        <w:spacing w:line="360" w:after="210" w:lineRule="auto"/>
      </w:pPr>
      <w:hyperlink r:id="rId37">
        <w:r>
          <w:rPr>
            <w:rFonts w:eastAsia="inter" w:cs="inter" w:ascii="inter" w:hAnsi="inter"/>
            <w:color w:val="#000"/>
            <w:sz w:val="18"/>
            <w:u w:val="single"/>
          </w:rPr>
          <w:t xml:space="preserve">https://www.youtube.com/watch?v=SJ38ahRdbBI</w:t>
        </w:r>
      </w:hyperlink>
      <w:r>
        <w:rPr>
          <w:rFonts w:eastAsia="inter" w:cs="inter" w:ascii="inter" w:hAnsi="inter"/>
          <w:color w:val="000000"/>
          <w:sz w:val="18"/>
        </w:rPr>
        <w:t xml:space="preserve"> </w:t>
      </w:r>
    </w:p>
    <w:bookmarkStart w:id="268" w:name="fn34"/>
    <w:bookmarkEnd w:id="268"/>
    <w:p>
      <w:pPr>
        <w:numPr>
          <w:ilvl w:val="0"/>
          <w:numId w:val="31"/>
        </w:numPr>
        <w:spacing w:line="360" w:after="210" w:lineRule="auto"/>
      </w:pPr>
      <w:hyperlink r:id="rId38">
        <w:r>
          <w:rPr>
            <w:rFonts w:eastAsia="inter" w:cs="inter" w:ascii="inter" w:hAnsi="inter"/>
            <w:color w:val="#000"/>
            <w:sz w:val="18"/>
            <w:u w:val="single"/>
          </w:rPr>
          <w:t xml:space="preserve">https://www.nature.com/research-intelligence/nri-topic-summaries/water-management-in-ancient-civilizations-micro-279279</w:t>
        </w:r>
      </w:hyperlink>
      <w:r>
        <w:rPr>
          <w:rFonts w:eastAsia="inter" w:cs="inter" w:ascii="inter" w:hAnsi="inter"/>
          <w:color w:val="000000"/>
          <w:sz w:val="18"/>
        </w:rPr>
        <w:t xml:space="preserve"> </w:t>
      </w:r>
    </w:p>
    <w:bookmarkStart w:id="269" w:name="fn35"/>
    <w:bookmarkEnd w:id="269"/>
    <w:p>
      <w:pPr>
        <w:numPr>
          <w:ilvl w:val="0"/>
          <w:numId w:val="31"/>
        </w:numPr>
        <w:spacing w:line="360" w:after="210" w:lineRule="auto"/>
      </w:pPr>
      <w:hyperlink r:id="rId39">
        <w:r>
          <w:rPr>
            <w:rFonts w:eastAsia="inter" w:cs="inter" w:ascii="inter" w:hAnsi="inter"/>
            <w:color w:val="#000"/>
            <w:sz w:val="18"/>
            <w:u w:val="single"/>
          </w:rPr>
          <w:t xml:space="preserve">https://en.wikipedia.org/wiki/Sacred_geometry</w:t>
        </w:r>
      </w:hyperlink>
      <w:r>
        <w:rPr>
          <w:rFonts w:eastAsia="inter" w:cs="inter" w:ascii="inter" w:hAnsi="inter"/>
          <w:color w:val="000000"/>
          <w:sz w:val="18"/>
        </w:rPr>
        <w:t xml:space="preserve"> </w:t>
      </w:r>
    </w:p>
    <w:bookmarkStart w:id="270" w:name="fn36"/>
    <w:bookmarkEnd w:id="270"/>
    <w:p>
      <w:pPr>
        <w:numPr>
          <w:ilvl w:val="0"/>
          <w:numId w:val="31"/>
        </w:numPr>
        <w:spacing w:line="360" w:after="210" w:lineRule="auto"/>
      </w:pPr>
      <w:hyperlink r:id="rId40">
        <w:r>
          <w:rPr>
            <w:rFonts w:eastAsia="inter" w:cs="inter" w:ascii="inter" w:hAnsi="inter"/>
            <w:color w:val="#000"/>
            <w:sz w:val="18"/>
            <w:u w:val="single"/>
          </w:rPr>
          <w:t xml:space="preserve">https://thefemalegaze.org/2015/09/27/whose-motif-is-it-representations-of-the-ancient-near-east-in-european-art/</w:t>
        </w:r>
      </w:hyperlink>
      <w:r>
        <w:rPr>
          <w:rFonts w:eastAsia="inter" w:cs="inter" w:ascii="inter" w:hAnsi="inter"/>
          <w:color w:val="000000"/>
          <w:sz w:val="18"/>
        </w:rPr>
        <w:t xml:space="preserve"> </w:t>
      </w:r>
    </w:p>
    <w:bookmarkStart w:id="271" w:name="fn37"/>
    <w:bookmarkEnd w:id="271"/>
    <w:p>
      <w:pPr>
        <w:numPr>
          <w:ilvl w:val="0"/>
          <w:numId w:val="31"/>
        </w:numPr>
        <w:spacing w:line="360" w:after="210" w:lineRule="auto"/>
      </w:pPr>
      <w:hyperlink r:id="rId41">
        <w:r>
          <w:rPr>
            <w:rFonts w:eastAsia="inter" w:cs="inter" w:ascii="inter" w:hAnsi="inter"/>
            <w:color w:val="#000"/>
            <w:sz w:val="18"/>
            <w:u w:val="single"/>
          </w:rPr>
          <w:t xml:space="preserve">https://www.lobostudio.es/en/sacred-geometry-architecture/</w:t>
        </w:r>
      </w:hyperlink>
      <w:r>
        <w:rPr>
          <w:rFonts w:eastAsia="inter" w:cs="inter" w:ascii="inter" w:hAnsi="inter"/>
          <w:color w:val="000000"/>
          <w:sz w:val="18"/>
        </w:rPr>
        <w:t xml:space="preserve"> </w:t>
      </w:r>
    </w:p>
    <w:bookmarkStart w:id="272" w:name="fn38"/>
    <w:bookmarkEnd w:id="272"/>
    <w:p>
      <w:pPr>
        <w:numPr>
          <w:ilvl w:val="0"/>
          <w:numId w:val="31"/>
        </w:numPr>
        <w:spacing w:line="360" w:after="210" w:lineRule="auto"/>
      </w:pPr>
      <w:hyperlink r:id="rId42">
        <w:r>
          <w:rPr>
            <w:rFonts w:eastAsia="inter" w:cs="inter" w:ascii="inter" w:hAnsi="inter"/>
            <w:color w:val="#000"/>
            <w:sz w:val="18"/>
            <w:u w:val="single"/>
          </w:rPr>
          <w:t xml:space="preserve">https://www.wedgepod.org/episode-47-louise-quillien-textiles-from-babylonia-transcript/</w:t>
        </w:r>
      </w:hyperlink>
      <w:r>
        <w:rPr>
          <w:rFonts w:eastAsia="inter" w:cs="inter" w:ascii="inter" w:hAnsi="inter"/>
          <w:color w:val="000000"/>
          <w:sz w:val="18"/>
        </w:rPr>
        <w:t xml:space="preserve"> </w:t>
      </w:r>
    </w:p>
    <w:bookmarkStart w:id="273" w:name="fn39"/>
    <w:bookmarkEnd w:id="273"/>
    <w:p>
      <w:pPr>
        <w:numPr>
          <w:ilvl w:val="0"/>
          <w:numId w:val="31"/>
        </w:numPr>
        <w:spacing w:line="360" w:after="210" w:lineRule="auto"/>
      </w:pPr>
      <w:hyperlink r:id="rId43">
        <w:r>
          <w:rPr>
            <w:rFonts w:eastAsia="inter" w:cs="inter" w:ascii="inter" w:hAnsi="inter"/>
            <w:color w:val="#000"/>
            <w:sz w:val="18"/>
            <w:u w:val="single"/>
          </w:rPr>
          <w:t xml:space="preserve">https://www.wie-design.com/post/reinterpreting-sacred-architecture-exploring-transcendence-design-and-the-spirit-of-space</w:t>
        </w:r>
      </w:hyperlink>
      <w:r>
        <w:rPr>
          <w:rFonts w:eastAsia="inter" w:cs="inter" w:ascii="inter" w:hAnsi="inter"/>
          <w:color w:val="000000"/>
          <w:sz w:val="18"/>
        </w:rPr>
        <w:t xml:space="preserve"> </w:t>
      </w:r>
    </w:p>
    <w:bookmarkStart w:id="274" w:name="fn40"/>
    <w:bookmarkEnd w:id="274"/>
    <w:p>
      <w:pPr>
        <w:numPr>
          <w:ilvl w:val="0"/>
          <w:numId w:val="31"/>
        </w:numPr>
        <w:spacing w:line="360" w:after="210" w:lineRule="auto"/>
      </w:pPr>
      <w:hyperlink r:id="rId44">
        <w:r>
          <w:rPr>
            <w:rFonts w:eastAsia="inter" w:cs="inter" w:ascii="inter" w:hAnsi="inter"/>
            <w:color w:val="#000"/>
            <w:sz w:val="18"/>
            <w:u w:val="single"/>
          </w:rPr>
          <w:t xml:space="preserve">https://digitalcommons.unl.edu/cgi/viewcontent.cgi?article=1007&amp;context=texroads</w:t>
        </w:r>
      </w:hyperlink>
      <w:r>
        <w:rPr>
          <w:rFonts w:eastAsia="inter" w:cs="inter" w:ascii="inter" w:hAnsi="inter"/>
          <w:color w:val="000000"/>
          <w:sz w:val="18"/>
        </w:rPr>
        <w:t xml:space="preserve"> </w:t>
      </w:r>
    </w:p>
    <w:bookmarkStart w:id="275" w:name="fn41"/>
    <w:bookmarkEnd w:id="275"/>
    <w:p>
      <w:pPr>
        <w:numPr>
          <w:ilvl w:val="0"/>
          <w:numId w:val="31"/>
        </w:numPr>
        <w:spacing w:line="360" w:after="210" w:lineRule="auto"/>
      </w:pPr>
      <w:hyperlink r:id="rId45">
        <w:r>
          <w:rPr>
            <w:rFonts w:eastAsia="inter" w:cs="inter" w:ascii="inter" w:hAnsi="inter"/>
            <w:color w:val="#000"/>
            <w:sz w:val="18"/>
            <w:u w:val="single"/>
          </w:rPr>
          <w:t xml:space="preserve">https://www.namuseum.gr/en/collection/geometriki-periodos-3/</w:t>
        </w:r>
      </w:hyperlink>
      <w:r>
        <w:rPr>
          <w:rFonts w:eastAsia="inter" w:cs="inter" w:ascii="inter" w:hAnsi="inter"/>
          <w:color w:val="000000"/>
          <w:sz w:val="18"/>
        </w:rPr>
        <w:t xml:space="preserve"> </w:t>
      </w:r>
    </w:p>
    <w:bookmarkStart w:id="276" w:name="fn42"/>
    <w:bookmarkEnd w:id="276"/>
    <w:p>
      <w:pPr>
        <w:numPr>
          <w:ilvl w:val="0"/>
          <w:numId w:val="31"/>
        </w:numPr>
        <w:spacing w:line="360" w:after="210" w:lineRule="auto"/>
      </w:pPr>
      <w:hyperlink r:id="rId46">
        <w:r>
          <w:rPr>
            <w:rFonts w:eastAsia="inter" w:cs="inter" w:ascii="inter" w:hAnsi="inter"/>
            <w:color w:val="#000"/>
            <w:sz w:val="18"/>
            <w:u w:val="single"/>
          </w:rPr>
          <w:t xml:space="preserve">https://en.wikipedia.org/wiki/Cylinder_seal</w:t>
        </w:r>
      </w:hyperlink>
      <w:r>
        <w:rPr>
          <w:rFonts w:eastAsia="inter" w:cs="inter" w:ascii="inter" w:hAnsi="inter"/>
          <w:color w:val="000000"/>
          <w:sz w:val="18"/>
        </w:rPr>
        <w:t xml:space="preserve"> </w:t>
      </w:r>
    </w:p>
    <w:bookmarkStart w:id="277" w:name="fn43"/>
    <w:bookmarkEnd w:id="277"/>
    <w:p>
      <w:pPr>
        <w:numPr>
          <w:ilvl w:val="0"/>
          <w:numId w:val="31"/>
        </w:numPr>
        <w:spacing w:line="360" w:after="210" w:lineRule="auto"/>
      </w:pPr>
      <w:hyperlink r:id="rId47">
        <w:r>
          <w:rPr>
            <w:rFonts w:eastAsia="inter" w:cs="inter" w:ascii="inter" w:hAnsi="inter"/>
            <w:color w:val="#000"/>
            <w:sz w:val="18"/>
            <w:u w:val="single"/>
          </w:rPr>
          <w:t xml:space="preserve">https://www.metmuseum.org/art/collection/search/327242</w:t>
        </w:r>
      </w:hyperlink>
      <w:r>
        <w:rPr>
          <w:rFonts w:eastAsia="inter" w:cs="inter" w:ascii="inter" w:hAnsi="inter"/>
          <w:color w:val="000000"/>
          <w:sz w:val="18"/>
        </w:rPr>
        <w:t xml:space="preserve"> </w:t>
      </w:r>
    </w:p>
    <w:bookmarkStart w:id="278" w:name="fn44"/>
    <w:bookmarkEnd w:id="278"/>
    <w:p>
      <w:pPr>
        <w:numPr>
          <w:ilvl w:val="0"/>
          <w:numId w:val="31"/>
        </w:numPr>
        <w:spacing w:line="360" w:after="210" w:lineRule="auto"/>
      </w:pPr>
      <w:hyperlink r:id="rId48">
        <w:r>
          <w:rPr>
            <w:rFonts w:eastAsia="inter" w:cs="inter" w:ascii="inter" w:hAnsi="inter"/>
            <w:color w:val="#000"/>
            <w:sz w:val="18"/>
            <w:u w:val="single"/>
          </w:rPr>
          <w:t xml:space="preserve">https://art.thewalters.org/object/42.628/</w:t>
        </w:r>
      </w:hyperlink>
      <w:r>
        <w:rPr>
          <w:rFonts w:eastAsia="inter" w:cs="inter" w:ascii="inter" w:hAnsi="inter"/>
          <w:color w:val="000000"/>
          <w:sz w:val="18"/>
        </w:rPr>
        <w:t xml:space="preserve"> </w:t>
      </w:r>
    </w:p>
    <w:bookmarkStart w:id="279" w:name="fn45"/>
    <w:bookmarkEnd w:id="279"/>
    <w:p>
      <w:pPr>
        <w:numPr>
          <w:ilvl w:val="0"/>
          <w:numId w:val="31"/>
        </w:numPr>
        <w:spacing w:line="360" w:after="210" w:lineRule="auto"/>
      </w:pPr>
      <w:hyperlink r:id="rId49">
        <w:r>
          <w:rPr>
            <w:rFonts w:eastAsia="inter" w:cs="inter" w:ascii="inter" w:hAnsi="inter"/>
            <w:color w:val="#000"/>
            <w:sz w:val="18"/>
            <w:u w:val="single"/>
          </w:rPr>
          <w:t xml:space="preserve">https://tuscriaturas.home.blog/wp-content/uploads/2018/12/encyclopedia-of-gods-demons-and-symbols-of-ancient-mesopotamia-an-illustrated-dictionary-jeremy-black-anthony-green.pdf</w:t>
        </w:r>
      </w:hyperlink>
      <w:r>
        <w:rPr>
          <w:rFonts w:eastAsia="inter" w:cs="inter" w:ascii="inter" w:hAnsi="inter"/>
          <w:color w:val="000000"/>
          <w:sz w:val="18"/>
        </w:rPr>
        <w:t xml:space="preserve"> </w:t>
      </w:r>
    </w:p>
    <w:bookmarkStart w:id="280" w:name="fn46"/>
    <w:bookmarkEnd w:id="280"/>
    <w:p>
      <w:pPr>
        <w:numPr>
          <w:ilvl w:val="0"/>
          <w:numId w:val="31"/>
        </w:numPr>
        <w:spacing w:line="360" w:after="210" w:lineRule="auto"/>
      </w:pPr>
      <w:hyperlink r:id="rId50">
        <w:r>
          <w:rPr>
            <w:rFonts w:eastAsia="inter" w:cs="inter" w:ascii="inter" w:hAnsi="inter"/>
            <w:color w:val="#000"/>
            <w:sz w:val="18"/>
            <w:u w:val="single"/>
          </w:rPr>
          <w:t xml:space="preserve">https://en.wikipedia.org/wiki/Babylonian_astronomy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81" w:name="fn47"/>
    <w:bookmarkEnd w:id="281"/>
    <w:p>
      <w:pPr>
        <w:numPr>
          <w:ilvl w:val="0"/>
          <w:numId w:val="31"/>
        </w:numPr>
        <w:spacing w:line="360" w:after="210" w:lineRule="auto"/>
      </w:pPr>
      <w:hyperlink r:id="rId51">
        <w:r>
          <w:rPr>
            <w:rFonts w:eastAsia="inter" w:cs="inter" w:ascii="inter" w:hAnsi="inter"/>
            <w:color w:val="#000"/>
            <w:sz w:val="18"/>
            <w:u w:val="single"/>
          </w:rPr>
          <w:t xml:space="preserve">https://astro.bas.bg/AIJ/issues/n28/GKurtik.pdf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82" w:name="fn48"/>
    <w:bookmarkEnd w:id="282"/>
    <w:p>
      <w:pPr>
        <w:numPr>
          <w:ilvl w:val="0"/>
          <w:numId w:val="31"/>
        </w:numPr>
        <w:spacing w:line="360" w:after="210" w:lineRule="auto"/>
      </w:pPr>
      <w:hyperlink r:id="rId52">
        <w:r>
          <w:rPr>
            <w:rFonts w:eastAsia="inter" w:cs="inter" w:ascii="inter" w:hAnsi="inter"/>
            <w:color w:val="#000"/>
            <w:sz w:val="18"/>
            <w:u w:val="single"/>
          </w:rPr>
          <w:t xml:space="preserve">https://bardmythologies.com/the-babylonian-enuma-elish/</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83" w:name="fn49"/>
    <w:bookmarkEnd w:id="283"/>
    <w:p>
      <w:pPr>
        <w:numPr>
          <w:ilvl w:val="0"/>
          <w:numId w:val="31"/>
        </w:numPr>
        <w:spacing w:line="360" w:after="210" w:lineRule="auto"/>
      </w:pPr>
      <w:hyperlink r:id="rId53">
        <w:r>
          <w:rPr>
            <w:rFonts w:eastAsia="inter" w:cs="inter" w:ascii="inter" w:hAnsi="inter"/>
            <w:color w:val="#000"/>
            <w:sz w:val="18"/>
            <w:u w:val="single"/>
          </w:rPr>
          <w:t xml:space="preserve">https://en.wikipedia.org/wiki/Ancient_Near_Eastern_cosmology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84" w:name="fn50"/>
    <w:bookmarkEnd w:id="284"/>
    <w:p>
      <w:pPr>
        <w:numPr>
          <w:ilvl w:val="0"/>
          <w:numId w:val="31"/>
        </w:numPr>
        <w:spacing w:line="360" w:after="210" w:lineRule="auto"/>
      </w:pPr>
      <w:hyperlink r:id="rId54">
        <w:r>
          <w:rPr>
            <w:rFonts w:eastAsia="inter" w:cs="inter" w:ascii="inter" w:hAnsi="inter"/>
            <w:color w:val="#000"/>
            <w:sz w:val="18"/>
            <w:u w:val="single"/>
          </w:rPr>
          <w:t xml:space="preserve">http://www.crivoice.org/enumaelish.html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85" w:name="fn51"/>
    <w:bookmarkEnd w:id="285"/>
    <w:p>
      <w:pPr>
        <w:numPr>
          <w:ilvl w:val="0"/>
          <w:numId w:val="31"/>
        </w:numPr>
        <w:spacing w:line="360" w:after="210" w:lineRule="auto"/>
      </w:pPr>
      <w:hyperlink r:id="rId55">
        <w:r>
          <w:rPr>
            <w:rFonts w:eastAsia="inter" w:cs="inter" w:ascii="inter" w:hAnsi="inter"/>
            <w:color w:val="#000"/>
            <w:sz w:val="18"/>
            <w:u w:val="single"/>
          </w:rPr>
          <w:t xml:space="preserve">https://www.mythfolks.com/babylonian-mythology/enuma-elish</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86" w:name="fn52"/>
    <w:bookmarkEnd w:id="286"/>
    <w:p>
      <w:pPr>
        <w:numPr>
          <w:ilvl w:val="0"/>
          <w:numId w:val="31"/>
        </w:numPr>
        <w:spacing w:line="360" w:after="210" w:lineRule="auto"/>
      </w:pPr>
      <w:hyperlink r:id="rId56">
        <w:r>
          <w:rPr>
            <w:rFonts w:eastAsia="inter" w:cs="inter" w:ascii="inter" w:hAnsi="inter"/>
            <w:color w:val="#000"/>
            <w:sz w:val="18"/>
            <w:u w:val="single"/>
          </w:rPr>
          <w:t xml:space="preserve">https://www.anne-marie.eu/en/kundalini-symbols-morning-star/</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87" w:name="fn53"/>
    <w:bookmarkEnd w:id="287"/>
    <w:p>
      <w:pPr>
        <w:numPr>
          <w:ilvl w:val="0"/>
          <w:numId w:val="31"/>
        </w:numPr>
        <w:spacing w:line="360" w:after="210" w:lineRule="auto"/>
      </w:pPr>
      <w:hyperlink r:id="rId57">
        <w:r>
          <w:rPr>
            <w:rFonts w:eastAsia="inter" w:cs="inter" w:ascii="inter" w:hAnsi="inter"/>
            <w:color w:val="#000"/>
            <w:sz w:val="18"/>
            <w:u w:val="single"/>
          </w:rPr>
          <w:t xml:space="preserve">https://symbolreader.net/2013/05/07/the-eight-point-star-to-my-wandering-bark/</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88" w:name="fn54"/>
    <w:bookmarkEnd w:id="288"/>
    <w:p>
      <w:pPr>
        <w:numPr>
          <w:ilvl w:val="0"/>
          <w:numId w:val="31"/>
        </w:numPr>
        <w:spacing w:line="360" w:after="210" w:lineRule="auto"/>
      </w:pPr>
      <w:hyperlink r:id="rId58">
        <w:r>
          <w:rPr>
            <w:rFonts w:eastAsia="inter" w:cs="inter" w:ascii="inter" w:hAnsi="inter"/>
            <w:color w:val="#000"/>
            <w:sz w:val="18"/>
            <w:u w:val="single"/>
          </w:rPr>
          <w:t xml:space="preserve">https://pagan-workshop.com/blogs/blog/who-is-the-8-point-star-goddess</w:t>
        </w:r>
      </w:hyperlink>
      <w:r>
        <w:rPr>
          <w:rFonts w:eastAsia="inter" w:cs="inter" w:ascii="inter" w:hAnsi="inter"/>
          <w:color w:val="000000"/>
          <w:sz w:val="18"/>
        </w:rPr>
        <w:t xml:space="preserve"> </w:t>
      </w:r>
    </w:p>
    <w:bookmarkStart w:id="289" w:name="fn55"/>
    <w:bookmarkEnd w:id="289"/>
    <w:p>
      <w:pPr>
        <w:numPr>
          <w:ilvl w:val="0"/>
          <w:numId w:val="31"/>
        </w:numPr>
        <w:spacing w:line="360" w:after="210" w:lineRule="auto"/>
      </w:pPr>
      <w:hyperlink r:id="rId59">
        <w:r>
          <w:rPr>
            <w:rFonts w:eastAsia="inter" w:cs="inter" w:ascii="inter" w:hAnsi="inter"/>
            <w:color w:val="#000"/>
            <w:sz w:val="18"/>
            <w:u w:val="single"/>
          </w:rPr>
          <w:t xml:space="preserve">https://www.occult.live/index.php?title=Ishtar&amp;mobileaction=toggle_view_desktop</w:t>
        </w:r>
      </w:hyperlink>
      <w:r>
        <w:rPr>
          <w:rFonts w:eastAsia="inter" w:cs="inter" w:ascii="inter" w:hAnsi="inter"/>
          <w:color w:val="000000"/>
          <w:sz w:val="18"/>
        </w:rPr>
        <w:t xml:space="preserve"> </w:t>
      </w:r>
    </w:p>
    <w:bookmarkStart w:id="290" w:name="fn56"/>
    <w:bookmarkEnd w:id="290"/>
    <w:p>
      <w:pPr>
        <w:numPr>
          <w:ilvl w:val="0"/>
          <w:numId w:val="31"/>
        </w:numPr>
        <w:spacing w:line="360" w:after="210" w:lineRule="auto"/>
      </w:pPr>
      <w:hyperlink r:id="rId60">
        <w:r>
          <w:rPr>
            <w:rFonts w:eastAsia="inter" w:cs="inter" w:ascii="inter" w:hAnsi="inter"/>
            <w:color w:val="#000"/>
            <w:sz w:val="18"/>
            <w:u w:val="single"/>
          </w:rPr>
          <w:t xml:space="preserve">https://www.facebook.com/ceremonialweaving/posts/design-history-this-eight-pointed-star-was-widely-used-in-ancient-timesin-babylo/1180422400317740/</w:t>
        </w:r>
      </w:hyperlink>
      <w:r>
        <w:rPr>
          <w:rFonts w:eastAsia="inter" w:cs="inter" w:ascii="inter" w:hAnsi="inter"/>
          <w:color w:val="000000"/>
          <w:sz w:val="18"/>
        </w:rPr>
        <w:t xml:space="preserve"> </w:t>
      </w:r>
    </w:p>
    <w:bookmarkStart w:id="291" w:name="fn57"/>
    <w:bookmarkEnd w:id="291"/>
    <w:p>
      <w:pPr>
        <w:numPr>
          <w:ilvl w:val="0"/>
          <w:numId w:val="31"/>
        </w:numPr>
        <w:spacing w:line="360" w:after="210" w:lineRule="auto"/>
      </w:pPr>
      <w:hyperlink r:id="rId61">
        <w:r>
          <w:rPr>
            <w:rFonts w:eastAsia="inter" w:cs="inter" w:ascii="inter" w:hAnsi="inter"/>
            <w:color w:val="#000"/>
            <w:sz w:val="18"/>
            <w:u w:val="single"/>
          </w:rPr>
          <w:t xml:space="preserve">https://mathshistory.st-andrews.ac.uk/HistTopics/Babylonian_numerals/</w:t>
        </w:r>
      </w:hyperlink>
      <w:r>
        <w:rPr>
          <w:rFonts w:eastAsia="inter" w:cs="inter" w:ascii="inter" w:hAnsi="inter"/>
          <w:color w:val="000000"/>
          <w:sz w:val="18"/>
        </w:rPr>
        <w:t xml:space="preserve"> </w:t>
      </w:r>
    </w:p>
    <w:bookmarkStart w:id="292" w:name="fn58"/>
    <w:bookmarkEnd w:id="292"/>
    <w:p>
      <w:pPr>
        <w:numPr>
          <w:ilvl w:val="0"/>
          <w:numId w:val="31"/>
        </w:numPr>
        <w:spacing w:line="360" w:after="210" w:lineRule="auto"/>
      </w:pPr>
      <w:hyperlink r:id="rId62">
        <w:r>
          <w:rPr>
            <w:rFonts w:eastAsia="inter" w:cs="inter" w:ascii="inter" w:hAnsi="inter"/>
            <w:color w:val="#000"/>
            <w:sz w:val="18"/>
            <w:u w:val="single"/>
          </w:rPr>
          <w:t xml:space="preserve">https://dulakaba.tripod.com/id70.html</w:t>
        </w:r>
      </w:hyperlink>
      <w:r>
        <w:rPr>
          <w:rFonts w:eastAsia="inter" w:cs="inter" w:ascii="inter" w:hAnsi="inter"/>
          <w:color w:val="000000"/>
          <w:sz w:val="18"/>
        </w:rPr>
        <w:t xml:space="preserve"> </w:t>
      </w:r>
    </w:p>
    <w:bookmarkStart w:id="293" w:name="fn59"/>
    <w:bookmarkEnd w:id="293"/>
    <w:p>
      <w:pPr>
        <w:numPr>
          <w:ilvl w:val="0"/>
          <w:numId w:val="31"/>
        </w:numPr>
        <w:spacing w:line="360" w:after="210" w:lineRule="auto"/>
      </w:pPr>
      <w:hyperlink r:id="rId63">
        <w:r>
          <w:rPr>
            <w:rFonts w:eastAsia="inter" w:cs="inter" w:ascii="inter" w:hAnsi="inter"/>
            <w:color w:val="#000"/>
            <w:sz w:val="18"/>
            <w:u w:val="single"/>
          </w:rPr>
          <w:t xml:space="preserve">https://covenantofbabylon.wordpress.com/tag/numerology/</w:t>
        </w:r>
      </w:hyperlink>
      <w:r>
        <w:rPr>
          <w:rFonts w:eastAsia="inter" w:cs="inter" w:ascii="inter" w:hAnsi="inter"/>
          <w:color w:val="000000"/>
          <w:sz w:val="18"/>
        </w:rPr>
        <w:t xml:space="preserve"> </w:t>
      </w:r>
    </w:p>
    <w:bookmarkStart w:id="294" w:name="fn60"/>
    <w:bookmarkEnd w:id="294"/>
    <w:p>
      <w:pPr>
        <w:numPr>
          <w:ilvl w:val="0"/>
          <w:numId w:val="31"/>
        </w:numPr>
        <w:spacing w:line="360" w:after="210" w:lineRule="auto"/>
      </w:pPr>
      <w:hyperlink r:id="rId64">
        <w:r>
          <w:rPr>
            <w:rFonts w:eastAsia="inter" w:cs="inter" w:ascii="inter" w:hAnsi="inter"/>
            <w:color w:val="#000"/>
            <w:sz w:val="18"/>
            <w:u w:val="single"/>
          </w:rPr>
          <w:t xml:space="preserve">https://www.facebook.com/groups/583113712191538/posts/1720871475082417/</w:t>
        </w:r>
      </w:hyperlink>
      <w:r>
        <w:rPr>
          <w:rFonts w:eastAsia="inter" w:cs="inter" w:ascii="inter" w:hAnsi="inter"/>
          <w:color w:val="000000"/>
          <w:sz w:val="18"/>
        </w:rPr>
        <w:t xml:space="preserve"> </w:t>
      </w:r>
    </w:p>
    <w:bookmarkStart w:id="295" w:name="fn61"/>
    <w:bookmarkEnd w:id="295"/>
    <w:p>
      <w:pPr>
        <w:numPr>
          <w:ilvl w:val="0"/>
          <w:numId w:val="31"/>
        </w:numPr>
        <w:spacing w:line="360" w:after="210" w:lineRule="auto"/>
      </w:pPr>
      <w:hyperlink r:id="rId65">
        <w:r>
          <w:rPr>
            <w:rFonts w:eastAsia="inter" w:cs="inter" w:ascii="inter" w:hAnsi="inter"/>
            <w:color w:val="#000"/>
            <w:sz w:val="18"/>
            <w:u w:val="single"/>
          </w:rPr>
          <w:t xml:space="preserve">https://www.britannica.com/topic/number-symbolism/Pythagoreanism</w:t>
        </w:r>
      </w:hyperlink>
      <w:r>
        <w:rPr>
          <w:rFonts w:eastAsia="inter" w:cs="inter" w:ascii="inter" w:hAnsi="inter"/>
          <w:color w:val="000000"/>
          <w:sz w:val="18"/>
        </w:rPr>
        <w:t xml:space="preserve"> </w:t>
      </w:r>
    </w:p>
    <w:bookmarkStart w:id="296" w:name="fn62"/>
    <w:bookmarkEnd w:id="296"/>
    <w:p>
      <w:pPr>
        <w:numPr>
          <w:ilvl w:val="0"/>
          <w:numId w:val="31"/>
        </w:numPr>
        <w:spacing w:line="360" w:after="210" w:lineRule="auto"/>
      </w:pPr>
      <w:hyperlink r:id="rId66">
        <w:r>
          <w:rPr>
            <w:rFonts w:eastAsia="inter" w:cs="inter" w:ascii="inter" w:hAnsi="inter"/>
            <w:color w:val="#000"/>
            <w:sz w:val="18"/>
            <w:u w:val="single"/>
          </w:rPr>
          <w:t xml:space="preserve">https://notesfromthedigitalunderground.net/on-ancient-numerology-and-astronomy/</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97" w:name="fn63"/>
    <w:bookmarkEnd w:id="297"/>
    <w:p>
      <w:pPr>
        <w:numPr>
          <w:ilvl w:val="0"/>
          <w:numId w:val="31"/>
        </w:numPr>
        <w:spacing w:line="360" w:after="210" w:lineRule="auto"/>
      </w:pPr>
      <w:hyperlink r:id="rId67">
        <w:r>
          <w:rPr>
            <w:rFonts w:eastAsia="inter" w:cs="inter" w:ascii="inter" w:hAnsi="inter"/>
            <w:color w:val="#000"/>
            <w:sz w:val="18"/>
            <w:u w:val="single"/>
          </w:rPr>
          <w:t xml:space="preserve">https://archaeology.org/news/2025/03/05/massive-network-of-ancient-canals-mapped-in-mesopotamia/</w:t>
        </w:r>
      </w:hyperlink>
      <w:r>
        <w:rPr>
          <w:rFonts w:eastAsia="inter" w:cs="inter" w:ascii="inter" w:hAnsi="inter"/>
          <w:color w:val="000000"/>
          <w:sz w:val="18"/>
        </w:rPr>
        <w:t xml:space="preserve"> </w:t>
      </w:r>
    </w:p>
    <w:bookmarkStart w:id="298" w:name="fn64"/>
    <w:bookmarkEnd w:id="298"/>
    <w:p>
      <w:pPr>
        <w:numPr>
          <w:ilvl w:val="0"/>
          <w:numId w:val="31"/>
        </w:numPr>
        <w:spacing w:line="360" w:after="210" w:lineRule="auto"/>
      </w:pPr>
      <w:hyperlink r:id="rId68">
        <w:r>
          <w:rPr>
            <w:rFonts w:eastAsia="inter" w:cs="inter" w:ascii="inter" w:hAnsi="inter"/>
            <w:color w:val="#000"/>
            <w:sz w:val="18"/>
            <w:u w:val="single"/>
          </w:rPr>
          <w:t xml:space="preserve">https://africame.factsanddetails.com/article/entry-1023.html</w:t>
        </w:r>
      </w:hyperlink>
      <w:r>
        <w:rPr>
          <w:rFonts w:eastAsia="inter" w:cs="inter" w:ascii="inter" w:hAnsi="inter"/>
          <w:color w:val="000000"/>
          <w:sz w:val="18"/>
        </w:rPr>
        <w:t xml:space="preserve"> </w:t>
      </w:r>
    </w:p>
    <w:bookmarkStart w:id="299" w:name="fn65"/>
    <w:bookmarkEnd w:id="299"/>
    <w:p>
      <w:pPr>
        <w:numPr>
          <w:ilvl w:val="0"/>
          <w:numId w:val="31"/>
        </w:numPr>
        <w:spacing w:line="360" w:after="210" w:lineRule="auto"/>
      </w:pPr>
      <w:hyperlink r:id="rId69">
        <w:r>
          <w:rPr>
            <w:rFonts w:eastAsia="inter" w:cs="inter" w:ascii="inter" w:hAnsi="inter"/>
            <w:color w:val="#000"/>
            <w:sz w:val="18"/>
            <w:u w:val="single"/>
          </w:rPr>
          <w:t xml:space="preserve">https://www.ancient-origins.net/history-famous-people/sacred-geometry-0013969</w:t>
        </w:r>
      </w:hyperlink>
      <w:r>
        <w:rPr>
          <w:rFonts w:eastAsia="inter" w:cs="inter" w:ascii="inter" w:hAnsi="inter"/>
          <w:color w:val="000000"/>
          <w:sz w:val="18"/>
        </w:rPr>
        <w:t xml:space="preserve"> </w:t>
      </w:r>
    </w:p>
    <w:bookmarkStart w:id="300" w:name="fn66"/>
    <w:bookmarkEnd w:id="300"/>
    <w:p>
      <w:pPr>
        <w:numPr>
          <w:ilvl w:val="0"/>
          <w:numId w:val="31"/>
        </w:numPr>
        <w:spacing w:line="360" w:after="210" w:lineRule="auto"/>
      </w:pPr>
      <w:hyperlink r:id="rId70">
        <w:r>
          <w:rPr>
            <w:rFonts w:eastAsia="inter" w:cs="inter" w:ascii="inter" w:hAnsi="inter"/>
            <w:color w:val="#000"/>
            <w:sz w:val="18"/>
            <w:u w:val="single"/>
          </w:rPr>
          <w:t xml:space="preserve">https://www.reddit.com/r/Genshin_Lore/comments/19aeaz4/the_meaning_of_the_8pointed_star/</w:t>
        </w:r>
      </w:hyperlink>
      <w:r>
        <w:rPr>
          <w:rFonts w:eastAsia="inter" w:cs="inter" w:ascii="inter" w:hAnsi="inter"/>
          <w:color w:val="000000"/>
          <w:sz w:val="18"/>
        </w:rPr>
        <w:t xml:space="preserve"> </w:t>
      </w:r>
    </w:p>
    <w:bookmarkStart w:id="301" w:name="fn67"/>
    <w:bookmarkEnd w:id="301"/>
    <w:p>
      <w:pPr>
        <w:numPr>
          <w:ilvl w:val="0"/>
          <w:numId w:val="31"/>
        </w:numPr>
        <w:spacing w:line="360" w:after="210" w:lineRule="auto"/>
      </w:pPr>
      <w:hyperlink r:id="rId71">
        <w:r>
          <w:rPr>
            <w:rFonts w:eastAsia="inter" w:cs="inter" w:ascii="inter" w:hAnsi="inter"/>
            <w:color w:val="#000"/>
            <w:sz w:val="18"/>
            <w:u w:val="single"/>
          </w:rPr>
          <w:t xml:space="preserve">https://study.com/academy/lesson/mesopotamian-mythology-gods-creatures-stories.html</w:t>
        </w:r>
      </w:hyperlink>
      <w:r>
        <w:rPr>
          <w:rFonts w:eastAsia="inter" w:cs="inter" w:ascii="inter" w:hAnsi="inter"/>
          <w:color w:val="000000"/>
          <w:sz w:val="18"/>
        </w:rPr>
        <w:t xml:space="preserve"> </w:t>
      </w:r>
    </w:p>
    <w:bookmarkStart w:id="302" w:name="fn68"/>
    <w:bookmarkEnd w:id="302"/>
    <w:p>
      <w:pPr>
        <w:numPr>
          <w:ilvl w:val="0"/>
          <w:numId w:val="31"/>
        </w:numPr>
        <w:spacing w:line="360" w:after="210" w:lineRule="auto"/>
      </w:pPr>
      <w:hyperlink r:id="rId72">
        <w:r>
          <w:rPr>
            <w:rFonts w:eastAsia="inter" w:cs="inter" w:ascii="inter" w:hAnsi="inter"/>
            <w:color w:val="#000"/>
            <w:sz w:val="18"/>
            <w:u w:val="single"/>
          </w:rPr>
          <w:t xml:space="preserve">https://www.britannica.com/art/Mesopotamian-art</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03" w:name="fn69"/>
    <w:bookmarkEnd w:id="303"/>
    <w:p>
      <w:pPr>
        <w:numPr>
          <w:ilvl w:val="0"/>
          <w:numId w:val="31"/>
        </w:numPr>
        <w:spacing w:line="360" w:after="210" w:lineRule="auto"/>
      </w:pPr>
      <w:hyperlink r:id="rId73">
        <w:r>
          <w:rPr>
            <w:rFonts w:eastAsia="inter" w:cs="inter" w:ascii="inter" w:hAnsi="inter"/>
            <w:color w:val="#000"/>
            <w:sz w:val="18"/>
            <w:u w:val="single"/>
          </w:rPr>
          <w:t xml:space="preserve">https://archeyes.com/ziggurat-temples-architecture-mesopotamia/</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04" w:name="fn70"/>
    <w:bookmarkEnd w:id="304"/>
    <w:p>
      <w:pPr>
        <w:numPr>
          <w:ilvl w:val="0"/>
          <w:numId w:val="31"/>
        </w:numPr>
        <w:spacing w:line="360" w:after="210" w:lineRule="auto"/>
      </w:pPr>
      <w:hyperlink r:id="rId74">
        <w:r>
          <w:rPr>
            <w:rFonts w:eastAsia="inter" w:cs="inter" w:ascii="inter" w:hAnsi="inter"/>
            <w:color w:val="#000"/>
            <w:sz w:val="18"/>
            <w:u w:val="single"/>
          </w:rPr>
          <w:t xml:space="preserve">https://www.academia.edu/39251865/Ziggurats_An_Astro_Archaeological_Analysis_revised_24_Jan_2021_</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05" w:name="fn71"/>
    <w:bookmarkEnd w:id="305"/>
    <w:p>
      <w:pPr>
        <w:numPr>
          <w:ilvl w:val="0"/>
          <w:numId w:val="31"/>
        </w:numPr>
        <w:spacing w:line="360" w:after="210" w:lineRule="auto"/>
      </w:pPr>
      <w:hyperlink r:id="rId75">
        <w:r>
          <w:rPr>
            <w:rFonts w:eastAsia="inter" w:cs="inter" w:ascii="inter" w:hAnsi="inter"/>
            <w:color w:val="#000"/>
            <w:sz w:val="18"/>
            <w:u w:val="single"/>
          </w:rPr>
          <w:t xml:space="preserve">https://core.ac.uk/download/pdf/52940292.pdf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06" w:name="fn72"/>
    <w:bookmarkEnd w:id="306"/>
    <w:p>
      <w:pPr>
        <w:numPr>
          <w:ilvl w:val="0"/>
          <w:numId w:val="31"/>
        </w:numPr>
        <w:spacing w:line="360" w:after="210" w:lineRule="auto"/>
      </w:pPr>
      <w:hyperlink r:id="rId76">
        <w:r>
          <w:rPr>
            <w:rFonts w:eastAsia="inter" w:cs="inter" w:ascii="inter" w:hAnsi="inter"/>
            <w:color w:val="#000"/>
            <w:sz w:val="18"/>
            <w:u w:val="single"/>
          </w:rPr>
          <w:t xml:space="preserve">https://smarthistory.org/ziggurat-of-ur/</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07" w:name="fn73"/>
    <w:bookmarkEnd w:id="307"/>
    <w:p>
      <w:pPr>
        <w:numPr>
          <w:ilvl w:val="0"/>
          <w:numId w:val="31"/>
        </w:numPr>
        <w:spacing w:line="360" w:after="210" w:lineRule="auto"/>
      </w:pPr>
      <w:hyperlink r:id="rId77">
        <w:r>
          <w:rPr>
            <w:rFonts w:eastAsia="inter" w:cs="inter" w:ascii="inter" w:hAnsi="inter"/>
            <w:color w:val="#000"/>
            <w:sz w:val="18"/>
            <w:u w:val="single"/>
          </w:rPr>
          <w:t xml:space="preserve">https://en.wikipedia.org/wiki/Ziggurat</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08" w:name="fn74"/>
    <w:bookmarkEnd w:id="308"/>
    <w:p>
      <w:pPr>
        <w:numPr>
          <w:ilvl w:val="0"/>
          <w:numId w:val="31"/>
        </w:numPr>
        <w:spacing w:line="360" w:after="210" w:lineRule="auto"/>
      </w:pPr>
      <w:hyperlink r:id="rId78">
        <w:r>
          <w:rPr>
            <w:rFonts w:eastAsia="inter" w:cs="inter" w:ascii="inter" w:hAnsi="inter"/>
            <w:color w:val="#000"/>
            <w:sz w:val="18"/>
            <w:u w:val="single"/>
          </w:rPr>
          <w:t xml:space="preserve">https://www.khanacademy.org/humanities/ancient-art-civilizations/ancient-near-east1/x7e914f5b:neo-sumerian-ur-iii/a/ziggurat-of-ur</w:t>
        </w:r>
      </w:hyperlink>
      <w:r>
        <w:rPr>
          <w:rFonts w:eastAsia="inter" w:cs="inter" w:ascii="inter" w:hAnsi="inter"/>
          <w:color w:val="000000"/>
          <w:sz w:val="18"/>
        </w:rPr>
        <w:t xml:space="preserve"> </w:t>
      </w:r>
    </w:p>
    <w:bookmarkStart w:id="309" w:name="fn75"/>
    <w:bookmarkEnd w:id="309"/>
    <w:p>
      <w:pPr>
        <w:numPr>
          <w:ilvl w:val="0"/>
          <w:numId w:val="31"/>
        </w:numPr>
        <w:spacing w:line="360" w:after="210" w:lineRule="auto"/>
      </w:pPr>
      <w:hyperlink r:id="rId79">
        <w:r>
          <w:rPr>
            <w:rFonts w:eastAsia="inter" w:cs="inter" w:ascii="inter" w:hAnsi="inter"/>
            <w:color w:val="#000"/>
            <w:sz w:val="18"/>
            <w:u w:val="single"/>
          </w:rPr>
          <w:t xml:space="preserve">https://www.slideshare.net/slideshow/mesopotamian-architecture-ziggurat-pdf/270572128</w:t>
        </w:r>
      </w:hyperlink>
      <w:r>
        <w:rPr>
          <w:rFonts w:eastAsia="inter" w:cs="inter" w:ascii="inter" w:hAnsi="inter"/>
          <w:color w:val="000000"/>
          <w:sz w:val="18"/>
        </w:rPr>
        <w:t xml:space="preserve"> </w:t>
      </w:r>
    </w:p>
    <w:bookmarkStart w:id="310" w:name="fn76"/>
    <w:bookmarkEnd w:id="310"/>
    <w:p>
      <w:pPr>
        <w:numPr>
          <w:ilvl w:val="0"/>
          <w:numId w:val="31"/>
        </w:numPr>
        <w:spacing w:line="360" w:after="210" w:lineRule="auto"/>
      </w:pPr>
      <w:hyperlink r:id="rId80">
        <w:r>
          <w:rPr>
            <w:rFonts w:eastAsia="inter" w:cs="inter" w:ascii="inter" w:hAnsi="inter"/>
            <w:color w:val="#000"/>
            <w:sz w:val="18"/>
            <w:u w:val="single"/>
          </w:rPr>
          <w:t xml:space="preserve">https://www.facebook.com/groups/archeologyandcivilizations/posts/4530156020411220/</w:t>
        </w:r>
      </w:hyperlink>
      <w:r>
        <w:rPr>
          <w:rFonts w:eastAsia="inter" w:cs="inter" w:ascii="inter" w:hAnsi="inter"/>
          <w:color w:val="000000"/>
          <w:sz w:val="18"/>
        </w:rPr>
        <w:t xml:space="preserve"> </w:t>
      </w:r>
    </w:p>
    <w:bookmarkStart w:id="311" w:name="fn77"/>
    <w:bookmarkEnd w:id="311"/>
    <w:p>
      <w:pPr>
        <w:numPr>
          <w:ilvl w:val="0"/>
          <w:numId w:val="31"/>
        </w:numPr>
        <w:spacing w:line="360" w:after="210" w:lineRule="auto"/>
      </w:pPr>
      <w:hyperlink r:id="rId81">
        <w:r>
          <w:rPr>
            <w:rFonts w:eastAsia="inter" w:cs="inter" w:ascii="inter" w:hAnsi="inter"/>
            <w:color w:val="#000"/>
            <w:sz w:val="18"/>
            <w:u w:val="single"/>
          </w:rPr>
          <w:t xml:space="preserve">https://www.academia.edu/38900455/A_comparison_of_the_polychrome_geometric_patterns_painted_on_Egyptian_palace_façades_false_doors_with_potential_counterparts_in_Mesopotamia</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12" w:name="fn78"/>
    <w:bookmarkEnd w:id="312"/>
    <w:p>
      <w:pPr>
        <w:numPr>
          <w:ilvl w:val="0"/>
          <w:numId w:val="31"/>
        </w:numPr>
        <w:spacing w:line="360" w:after="210" w:lineRule="auto"/>
      </w:pPr>
      <w:hyperlink r:id="rId82">
        <w:r>
          <w:rPr>
            <w:rFonts w:eastAsia="inter" w:cs="inter" w:ascii="inter" w:hAnsi="inter"/>
            <w:color w:val="#000"/>
            <w:sz w:val="18"/>
            <w:u w:val="single"/>
          </w:rPr>
          <w:t xml:space="preserve">https://www.britishmuseum.org/collection/object/W_1979-1218-77</w:t>
        </w:r>
      </w:hyperlink>
      <w:r>
        <w:rPr>
          <w:rFonts w:eastAsia="inter" w:cs="inter" w:ascii="inter" w:hAnsi="inter"/>
          <w:color w:val="000000"/>
          <w:sz w:val="18"/>
        </w:rPr>
        <w:t xml:space="preserve"> </w:t>
      </w:r>
    </w:p>
    <w:bookmarkStart w:id="313" w:name="fn79"/>
    <w:bookmarkEnd w:id="313"/>
    <w:p>
      <w:pPr>
        <w:numPr>
          <w:ilvl w:val="0"/>
          <w:numId w:val="31"/>
        </w:numPr>
        <w:spacing w:line="360" w:after="210" w:lineRule="auto"/>
      </w:pPr>
      <w:hyperlink r:id="rId83">
        <w:r>
          <w:rPr>
            <w:rFonts w:eastAsia="inter" w:cs="inter" w:ascii="inter" w:hAnsi="inter"/>
            <w:color w:val="#000"/>
            <w:sz w:val="18"/>
            <w:u w:val="single"/>
          </w:rPr>
          <w:t xml:space="preserve">https://madainproject.com/ishtar_gate_(babylon)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14" w:name="fn80"/>
    <w:bookmarkEnd w:id="314"/>
    <w:p>
      <w:pPr>
        <w:numPr>
          <w:ilvl w:val="0"/>
          <w:numId w:val="31"/>
        </w:numPr>
        <w:spacing w:line="360" w:after="210" w:lineRule="auto"/>
      </w:pPr>
      <w:hyperlink r:id="rId84">
        <w:r>
          <w:rPr>
            <w:rFonts w:eastAsia="inter" w:cs="inter" w:ascii="inter" w:hAnsi="inter"/>
            <w:color w:val="#000"/>
            <w:sz w:val="18"/>
            <w:u w:val="single"/>
          </w:rPr>
          <w:t xml:space="preserve">https://giacobbegiusti9.wordpress.com/tag/compositional-studies-of-the-glazed-brick-from-the-ishtar-gate-at-babylon/</w:t>
        </w:r>
      </w:hyperlink>
      <w:r>
        <w:rPr>
          <w:rFonts w:eastAsia="inter" w:cs="inter" w:ascii="inter" w:hAnsi="inter"/>
          <w:color w:val="000000"/>
          <w:sz w:val="18"/>
        </w:rPr>
        <w:t xml:space="preserve"> </w:t>
      </w:r>
    </w:p>
    <w:bookmarkStart w:id="315" w:name="fn81"/>
    <w:bookmarkEnd w:id="315"/>
    <w:p>
      <w:pPr>
        <w:numPr>
          <w:ilvl w:val="0"/>
          <w:numId w:val="31"/>
        </w:numPr>
        <w:spacing w:line="360" w:after="210" w:lineRule="auto"/>
      </w:pPr>
      <w:hyperlink r:id="rId85">
        <w:r>
          <w:rPr>
            <w:rFonts w:eastAsia="inter" w:cs="inter" w:ascii="inter" w:hAnsi="inter"/>
            <w:color w:val="#000"/>
            <w:sz w:val="18"/>
            <w:u w:val="single"/>
          </w:rPr>
          <w:t xml:space="preserve">https://www.donsmaps.com/ishtar.html</w:t>
        </w:r>
      </w:hyperlink>
      <w:r>
        <w:rPr>
          <w:rFonts w:eastAsia="inter" w:cs="inter" w:ascii="inter" w:hAnsi="inter"/>
          <w:color w:val="000000"/>
          <w:sz w:val="18"/>
        </w:rPr>
        <w:t xml:space="preserve"> </w:t>
      </w:r>
    </w:p>
    <w:bookmarkStart w:id="316" w:name="fn82"/>
    <w:bookmarkEnd w:id="316"/>
    <w:p>
      <w:pPr>
        <w:numPr>
          <w:ilvl w:val="0"/>
          <w:numId w:val="31"/>
        </w:numPr>
        <w:spacing w:line="360" w:after="210" w:lineRule="auto"/>
      </w:pPr>
      <w:hyperlink r:id="rId86">
        <w:r>
          <w:rPr>
            <w:rFonts w:eastAsia="inter" w:cs="inter" w:ascii="inter" w:hAnsi="inter"/>
            <w:color w:val="#000"/>
            <w:sz w:val="18"/>
            <w:u w:val="single"/>
          </w:rPr>
          <w:t xml:space="preserve">https://en.wikipedia.org/wiki/Ishtar_Gate</w:t>
        </w:r>
      </w:hyperlink>
      <w:r>
        <w:rPr>
          <w:rFonts w:eastAsia="inter" w:cs="inter" w:ascii="inter" w:hAnsi="inter"/>
          <w:color w:val="000000"/>
          <w:sz w:val="18"/>
        </w:rPr>
        <w:t xml:space="preserve"> </w:t>
      </w:r>
    </w:p>
    <w:bookmarkStart w:id="317" w:name="fn83"/>
    <w:bookmarkEnd w:id="317"/>
    <w:p>
      <w:pPr>
        <w:numPr>
          <w:ilvl w:val="0"/>
          <w:numId w:val="31"/>
        </w:numPr>
        <w:spacing w:line="360" w:after="210" w:lineRule="auto"/>
      </w:pPr>
      <w:hyperlink r:id="rId87">
        <w:r>
          <w:rPr>
            <w:rFonts w:eastAsia="inter" w:cs="inter" w:ascii="inter" w:hAnsi="inter"/>
            <w:color w:val="#000"/>
            <w:sz w:val="18"/>
            <w:u w:val="single"/>
          </w:rPr>
          <w:t xml:space="preserve">https://publicdomainreview.org/essay/modern-babylon-ziggurat-skyscrapers-and-hugh-ferriss-retrofuturism/</w:t>
        </w:r>
      </w:hyperlink>
      <w:r>
        <w:rPr>
          <w:rFonts w:eastAsia="inter" w:cs="inter" w:ascii="inter" w:hAnsi="inter"/>
          <w:color w:val="000000"/>
          <w:sz w:val="18"/>
        </w:rPr>
        <w:t xml:space="preserve"> </w:t>
      </w:r>
    </w:p>
    <w:bookmarkStart w:id="318" w:name="fn84"/>
    <w:bookmarkEnd w:id="318"/>
    <w:p>
      <w:pPr>
        <w:numPr>
          <w:ilvl w:val="0"/>
          <w:numId w:val="31"/>
        </w:numPr>
        <w:spacing w:line="360" w:after="210" w:lineRule="auto"/>
      </w:pPr>
      <w:hyperlink r:id="rId88">
        <w:r>
          <w:rPr>
            <w:rFonts w:eastAsia="inter" w:cs="inter" w:ascii="inter" w:hAnsi="inter"/>
            <w:color w:val="#000"/>
            <w:sz w:val="18"/>
            <w:u w:val="single"/>
          </w:rPr>
          <w:t xml:space="preserve">https://popular-archaeology.com/article/skyscrapers-of-babel-how-ancient-mesopotamia-shaped-the-modern-city/</w:t>
        </w:r>
      </w:hyperlink>
      <w:r>
        <w:rPr>
          <w:rFonts w:eastAsia="inter" w:cs="inter" w:ascii="inter" w:hAnsi="inter"/>
          <w:color w:val="000000"/>
          <w:sz w:val="18"/>
        </w:rPr>
        <w:t xml:space="preserve"> </w:t>
      </w:r>
    </w:p>
    <w:bookmarkStart w:id="319" w:name="fn85"/>
    <w:bookmarkEnd w:id="319"/>
    <w:p>
      <w:pPr>
        <w:numPr>
          <w:ilvl w:val="0"/>
          <w:numId w:val="31"/>
        </w:numPr>
        <w:spacing w:line="360" w:after="210" w:lineRule="auto"/>
      </w:pPr>
      <w:hyperlink r:id="rId89">
        <w:r>
          <w:rPr>
            <w:rFonts w:eastAsia="inter" w:cs="inter" w:ascii="inter" w:hAnsi="inter"/>
            <w:color w:val="#000"/>
            <w:sz w:val="18"/>
            <w:u w:val="single"/>
          </w:rPr>
          <w:t xml:space="preserve">https://www.iranicaonline.org/articles/ziggurat/</w:t>
        </w:r>
      </w:hyperlink>
      <w:r>
        <w:rPr>
          <w:rFonts w:eastAsia="inter" w:cs="inter" w:ascii="inter" w:hAnsi="inter"/>
          <w:color w:val="000000"/>
          <w:sz w:val="18"/>
        </w:rPr>
        <w:t xml:space="preserve"> </w:t>
      </w:r>
    </w:p>
    <w:bookmarkStart w:id="320" w:name="fn86"/>
    <w:bookmarkEnd w:id="320"/>
    <w:p>
      <w:pPr>
        <w:numPr>
          <w:ilvl w:val="0"/>
          <w:numId w:val="31"/>
        </w:numPr>
        <w:spacing w:line="360" w:after="210" w:lineRule="auto"/>
      </w:pPr>
      <w:hyperlink r:id="rId90">
        <w:r>
          <w:rPr>
            <w:rFonts w:eastAsia="inter" w:cs="inter" w:ascii="inter" w:hAnsi="inter"/>
            <w:color w:val="#000"/>
            <w:sz w:val="18"/>
            <w:u w:val="single"/>
          </w:rPr>
          <w:t xml:space="preserve">https://www.getty.edu/publications/resources/virtuallibrary/9780892363353.pdf</w:t>
        </w:r>
      </w:hyperlink>
      <w:r>
        <w:rPr>
          <w:rFonts w:eastAsia="inter" w:cs="inter" w:ascii="inter" w:hAnsi="inter"/>
          <w:color w:val="000000"/>
          <w:sz w:val="18"/>
        </w:rPr>
        <w:t xml:space="preserve"> </w:t>
      </w:r>
    </w:p>
    <w:bookmarkStart w:id="321" w:name="fn87"/>
    <w:bookmarkEnd w:id="321"/>
    <w:p>
      <w:pPr>
        <w:numPr>
          <w:ilvl w:val="0"/>
          <w:numId w:val="31"/>
        </w:numPr>
        <w:spacing w:line="360" w:after="210" w:lineRule="auto"/>
      </w:pPr>
      <w:hyperlink r:id="rId91">
        <w:r>
          <w:rPr>
            <w:rFonts w:eastAsia="inter" w:cs="inter" w:ascii="inter" w:hAnsi="inter"/>
            <w:color w:val="#000"/>
            <w:sz w:val="18"/>
            <w:u w:val="single"/>
          </w:rPr>
          <w:t xml:space="preserve">https://www.facebook.com/groups/archeologyandcivilizations/posts/23954579334208932/</w:t>
        </w:r>
      </w:hyperlink>
      <w:r>
        <w:rPr>
          <w:rFonts w:eastAsia="inter" w:cs="inter" w:ascii="inter" w:hAnsi="inter"/>
          <w:color w:val="000000"/>
          <w:sz w:val="18"/>
        </w:rPr>
        <w:t xml:space="preserve"> </w:t>
      </w:r>
    </w:p>
    <w:bookmarkStart w:id="322" w:name="fn88"/>
    <w:bookmarkEnd w:id="322"/>
    <w:p>
      <w:pPr>
        <w:numPr>
          <w:ilvl w:val="0"/>
          <w:numId w:val="31"/>
        </w:numPr>
        <w:spacing w:line="360" w:after="210" w:lineRule="auto"/>
      </w:pPr>
      <w:hyperlink r:id="rId92">
        <w:r>
          <w:rPr>
            <w:rFonts w:eastAsia="inter" w:cs="inter" w:ascii="inter" w:hAnsi="inter"/>
            <w:color w:val="#000"/>
            <w:sz w:val="18"/>
            <w:u w:val="single"/>
          </w:rPr>
          <w:t xml:space="preserve">https://core.ac.uk/download/pdf/52940292.pdf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23" w:name="fn89"/>
    <w:bookmarkEnd w:id="323"/>
    <w:p>
      <w:pPr>
        <w:numPr>
          <w:ilvl w:val="0"/>
          <w:numId w:val="31"/>
        </w:numPr>
        <w:spacing w:line="360" w:after="210" w:lineRule="auto"/>
      </w:pPr>
      <w:hyperlink r:id="rId93">
        <w:r>
          <w:rPr>
            <w:rFonts w:eastAsia="inter" w:cs="inter" w:ascii="inter" w:hAnsi="inter"/>
            <w:color w:val="#000"/>
            <w:sz w:val="18"/>
            <w:u w:val="single"/>
          </w:rPr>
          <w:t xml:space="preserve">https://en.wikipedia.org/wiki/Architecture_of_Mesopotamia</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24" w:name="fn90"/>
    <w:bookmarkEnd w:id="324"/>
    <w:p>
      <w:pPr>
        <w:numPr>
          <w:ilvl w:val="0"/>
          <w:numId w:val="31"/>
        </w:numPr>
        <w:spacing w:line="360" w:after="210" w:lineRule="auto"/>
      </w:pPr>
      <w:hyperlink r:id="rId94">
        <w:r>
          <w:rPr>
            <w:rFonts w:eastAsia="inter" w:cs="inter" w:ascii="inter" w:hAnsi="inter"/>
            <w:color w:val="#000"/>
            <w:sz w:val="18"/>
            <w:u w:val="single"/>
          </w:rPr>
          <w:t xml:space="preserve">https://www.facebook.com/groups/1331722814218106/posts/1616211715769213/</w:t>
        </w:r>
      </w:hyperlink>
      <w:r>
        <w:rPr>
          <w:rFonts w:eastAsia="inter" w:cs="inter" w:ascii="inter" w:hAnsi="inter"/>
          <w:color w:val="000000"/>
          <w:sz w:val="18"/>
        </w:rPr>
        <w:t xml:space="preserve"> </w:t>
      </w:r>
    </w:p>
    <w:bookmarkStart w:id="325" w:name="fn91"/>
    <w:bookmarkEnd w:id="325"/>
    <w:p>
      <w:pPr>
        <w:numPr>
          <w:ilvl w:val="0"/>
          <w:numId w:val="31"/>
        </w:numPr>
        <w:spacing w:line="360" w:after="210" w:lineRule="auto"/>
      </w:pPr>
      <w:hyperlink r:id="rId95">
        <w:r>
          <w:rPr>
            <w:rFonts w:eastAsia="inter" w:cs="inter" w:ascii="inter" w:hAnsi="inter"/>
            <w:color w:val="#000"/>
            <w:sz w:val="18"/>
            <w:u w:val="single"/>
          </w:rPr>
          <w:t xml:space="preserve">https://angelicscalliwags.com/cone-mosaics-urek/</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26" w:name="fn92"/>
    <w:bookmarkEnd w:id="326"/>
    <w:p>
      <w:pPr>
        <w:numPr>
          <w:ilvl w:val="0"/>
          <w:numId w:val="31"/>
        </w:numPr>
        <w:spacing w:line="360" w:after="210" w:lineRule="auto"/>
      </w:pPr>
      <w:hyperlink r:id="rId96">
        <w:r>
          <w:rPr>
            <w:rFonts w:eastAsia="inter" w:cs="inter" w:ascii="inter" w:hAnsi="inter"/>
            <w:color w:val="#000"/>
            <w:sz w:val="18"/>
            <w:u w:val="single"/>
          </w:rPr>
          <w:t xml:space="preserve">https://d-core.ua/en/mosaic/</w:t>
        </w:r>
      </w:hyperlink>
      <w:r>
        <w:rPr>
          <w:rFonts w:eastAsia="inter" w:cs="inter" w:ascii="inter" w:hAnsi="inter"/>
          <w:color w:val="000000"/>
          <w:sz w:val="18"/>
        </w:rPr>
        <w:t xml:space="preserve"> </w:t>
      </w:r>
    </w:p>
    <w:bookmarkStart w:id="327" w:name="fn93"/>
    <w:bookmarkEnd w:id="327"/>
    <w:p>
      <w:pPr>
        <w:numPr>
          <w:ilvl w:val="0"/>
          <w:numId w:val="31"/>
        </w:numPr>
        <w:spacing w:line="360" w:after="210" w:lineRule="auto"/>
      </w:pPr>
      <w:hyperlink r:id="rId97">
        <w:r>
          <w:rPr>
            <w:rFonts w:eastAsia="inter" w:cs="inter" w:ascii="inter" w:hAnsi="inter"/>
            <w:color w:val="#000"/>
            <w:sz w:val="18"/>
            <w:u w:val="single"/>
          </w:rPr>
          <w:t xml:space="preserve">https://www.grossotile.com/the-origins-of-mosaic-art-the-birth-of-cone-mosaics/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28" w:name="fn94"/>
    <w:bookmarkEnd w:id="328"/>
    <w:p>
      <w:pPr>
        <w:numPr>
          <w:ilvl w:val="0"/>
          <w:numId w:val="31"/>
        </w:numPr>
        <w:spacing w:line="360" w:after="210" w:lineRule="auto"/>
      </w:pPr>
      <w:hyperlink r:id="rId98">
        <w:r>
          <w:rPr>
            <w:rFonts w:eastAsia="inter" w:cs="inter" w:ascii="inter" w:hAnsi="inter"/>
            <w:color w:val="#000"/>
            <w:sz w:val="18"/>
            <w:u w:val="single"/>
          </w:rPr>
          <w:t xml:space="preserve">https://mosaic-blues.com/blog/2021/04/01/cone-mosaics/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29" w:name="fn95"/>
    <w:bookmarkEnd w:id="329"/>
    <w:p>
      <w:pPr>
        <w:numPr>
          <w:ilvl w:val="0"/>
          <w:numId w:val="31"/>
        </w:numPr>
        <w:spacing w:line="360" w:after="210" w:lineRule="auto"/>
      </w:pPr>
      <w:hyperlink r:id="rId99">
        <w:r>
          <w:rPr>
            <w:rFonts w:eastAsia="inter" w:cs="inter" w:ascii="inter" w:hAnsi="inter"/>
            <w:color w:val="#000"/>
            <w:sz w:val="18"/>
            <w:u w:val="single"/>
          </w:rPr>
          <w:t xml:space="preserve">https://www.britannica.com/art/Mesopotamian-art/Sumerian-period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30" w:name="fn96"/>
    <w:bookmarkEnd w:id="330"/>
    <w:p>
      <w:pPr>
        <w:numPr>
          <w:ilvl w:val="0"/>
          <w:numId w:val="31"/>
        </w:numPr>
        <w:spacing w:line="360" w:after="210" w:lineRule="auto"/>
      </w:pPr>
      <w:hyperlink r:id="rId100">
        <w:r>
          <w:rPr>
            <w:rFonts w:eastAsia="inter" w:cs="inter" w:ascii="inter" w:hAnsi="inter"/>
            <w:color w:val="#000"/>
            <w:sz w:val="18"/>
            <w:u w:val="single"/>
          </w:rPr>
          <w:t xml:space="preserve">https://isac.uchicago.edu/sites/default/files/uploads/shared/docs/03-04_Hamoukar.pdf</w:t>
        </w:r>
      </w:hyperlink>
      <w:r>
        <w:rPr>
          <w:rFonts w:eastAsia="inter" w:cs="inter" w:ascii="inter" w:hAnsi="inter"/>
          <w:color w:val="000000"/>
          <w:sz w:val="18"/>
        </w:rPr>
        <w:t xml:space="preserve"> </w:t>
      </w:r>
    </w:p>
    <w:bookmarkStart w:id="331" w:name="fn97"/>
    <w:bookmarkEnd w:id="331"/>
    <w:p>
      <w:pPr>
        <w:numPr>
          <w:ilvl w:val="0"/>
          <w:numId w:val="31"/>
        </w:numPr>
        <w:spacing w:line="360" w:after="210" w:lineRule="auto"/>
      </w:pPr>
      <w:hyperlink r:id="rId101">
        <w:r>
          <w:rPr>
            <w:rFonts w:eastAsia="inter" w:cs="inter" w:ascii="inter" w:hAnsi="inter"/>
            <w:color w:val="#000"/>
            <w:sz w:val="18"/>
            <w:u w:val="single"/>
          </w:rPr>
          <w:t xml:space="preserve">https://www.academia.edu/38900455/A_comparison_of_the_polychrome_geometric_patterns_painted_on_Egyptian_palace_façades_false_doors_with_potential_counterparts_in_Mesopotamia</w:t>
        </w:r>
      </w:hyperlink>
      <w:r>
        <w:rPr>
          <w:rFonts w:eastAsia="inter" w:cs="inter" w:ascii="inter" w:hAnsi="inter"/>
          <w:color w:val="000000"/>
          <w:sz w:val="18"/>
        </w:rPr>
        <w:t xml:space="preserve"> </w:t>
      </w:r>
    </w:p>
    <w:bookmarkStart w:id="332" w:name="fn98"/>
    <w:bookmarkEnd w:id="332"/>
    <w:p>
      <w:pPr>
        <w:numPr>
          <w:ilvl w:val="0"/>
          <w:numId w:val="31"/>
        </w:numPr>
        <w:spacing w:line="360" w:after="210" w:lineRule="auto"/>
      </w:pPr>
      <w:hyperlink r:id="rId102">
        <w:r>
          <w:rPr>
            <w:rFonts w:eastAsia="inter" w:cs="inter" w:ascii="inter" w:hAnsi="inter"/>
            <w:color w:val="#000"/>
            <w:sz w:val="18"/>
            <w:u w:val="single"/>
          </w:rPr>
          <w:t xml:space="preserve">https://www.jstor.org/stable/497492</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33" w:name="fn99"/>
    <w:bookmarkEnd w:id="333"/>
    <w:p>
      <w:pPr>
        <w:numPr>
          <w:ilvl w:val="0"/>
          <w:numId w:val="31"/>
        </w:numPr>
        <w:spacing w:line="360" w:after="210" w:lineRule="auto"/>
      </w:pPr>
      <w:hyperlink r:id="rId103">
        <w:r>
          <w:rPr>
            <w:rFonts w:eastAsia="inter" w:cs="inter" w:ascii="inter" w:hAnsi="inter"/>
            <w:color w:val="#000"/>
            <w:sz w:val="18"/>
            <w:u w:val="single"/>
          </w:rPr>
          <w:t xml:space="preserve">https://madainproject.com/ishtar_gate_(babylon)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34" w:name="fn100"/>
    <w:bookmarkEnd w:id="334"/>
    <w:p>
      <w:pPr>
        <w:numPr>
          <w:ilvl w:val="0"/>
          <w:numId w:val="31"/>
        </w:numPr>
        <w:spacing w:line="360" w:after="210" w:lineRule="auto"/>
      </w:pPr>
      <w:hyperlink r:id="rId104">
        <w:r>
          <w:rPr>
            <w:rFonts w:eastAsia="inter" w:cs="inter" w:ascii="inter" w:hAnsi="inter"/>
            <w:color w:val="#000"/>
            <w:sz w:val="18"/>
            <w:u w:val="single"/>
          </w:rPr>
          <w:t xml:space="preserve">https://smarthistory.org/neo-babylonian/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35" w:name="fn101"/>
    <w:bookmarkEnd w:id="335"/>
    <w:p>
      <w:pPr>
        <w:numPr>
          <w:ilvl w:val="0"/>
          <w:numId w:val="31"/>
        </w:numPr>
        <w:spacing w:line="360" w:after="210" w:lineRule="auto"/>
      </w:pPr>
      <w:hyperlink r:id="rId105">
        <w:r>
          <w:rPr>
            <w:rFonts w:eastAsia="inter" w:cs="inter" w:ascii="inter" w:hAnsi="inter"/>
            <w:color w:val="#000"/>
            <w:sz w:val="18"/>
            <w:u w:val="single"/>
          </w:rPr>
          <w:t xml:space="preserve">https://en.wikipedia.org/wiki/Ishtar_Gate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36" w:name="fn102"/>
    <w:bookmarkEnd w:id="336"/>
    <w:p>
      <w:pPr>
        <w:numPr>
          <w:ilvl w:val="0"/>
          <w:numId w:val="31"/>
        </w:numPr>
        <w:spacing w:line="360" w:after="210" w:lineRule="auto"/>
      </w:pPr>
      <w:hyperlink r:id="rId106">
        <w:r>
          <w:rPr>
            <w:rFonts w:eastAsia="inter" w:cs="inter" w:ascii="inter" w:hAnsi="inter"/>
            <w:color w:val="#000"/>
            <w:sz w:val="18"/>
            <w:u w:val="single"/>
          </w:rPr>
          <w:t xml:space="preserve">https://en.wikipedia.org/wiki/Rosette_(design)</w:t>
        </w:r>
      </w:hyperlink>
      <w:r>
        <w:rPr>
          <w:rFonts w:eastAsia="inter" w:cs="inter" w:ascii="inter" w:hAnsi="inter"/>
          <w:color w:val="000000"/>
          <w:sz w:val="18"/>
        </w:rPr>
        <w:t xml:space="preserve"> </w:t>
      </w:r>
    </w:p>
    <w:bookmarkStart w:id="337" w:name="fn103"/>
    <w:bookmarkEnd w:id="337"/>
    <w:p>
      <w:pPr>
        <w:numPr>
          <w:ilvl w:val="0"/>
          <w:numId w:val="31"/>
        </w:numPr>
        <w:spacing w:line="360" w:after="210" w:lineRule="auto"/>
      </w:pPr>
      <w:hyperlink r:id="rId107">
        <w:r>
          <w:rPr>
            <w:rFonts w:eastAsia="inter" w:cs="inter" w:ascii="inter" w:hAnsi="inter"/>
            <w:color w:val="#000"/>
            <w:sz w:val="18"/>
            <w:u w:val="single"/>
          </w:rPr>
          <w:t xml:space="preserve">https://www.facebook.com/ICSP.beauty/posts/behold-the-lotus-rosettes-remnants-of-the-ishtar-gate-once-standing-tall-in-baby/1213188954166454/</w:t>
        </w:r>
      </w:hyperlink>
      <w:r>
        <w:rPr>
          <w:rFonts w:eastAsia="inter" w:cs="inter" w:ascii="inter" w:hAnsi="inter"/>
          <w:color w:val="000000"/>
          <w:sz w:val="18"/>
        </w:rPr>
        <w:t xml:space="preserve"> </w:t>
      </w:r>
    </w:p>
    <w:bookmarkStart w:id="338" w:name="fn104"/>
    <w:bookmarkEnd w:id="338"/>
    <w:p>
      <w:pPr>
        <w:numPr>
          <w:ilvl w:val="0"/>
          <w:numId w:val="31"/>
        </w:numPr>
        <w:spacing w:line="360" w:after="210" w:lineRule="auto"/>
      </w:pPr>
      <w:hyperlink r:id="rId108">
        <w:r>
          <w:rPr>
            <w:rFonts w:eastAsia="inter" w:cs="inter" w:ascii="inter" w:hAnsi="inter"/>
            <w:color w:val="#000"/>
            <w:sz w:val="18"/>
            <w:u w:val="single"/>
          </w:rPr>
          <w:t xml:space="preserve">https://en.wikipedia.org/wiki/Art_of_Mesopotamia</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39" w:name="fn105"/>
    <w:bookmarkEnd w:id="339"/>
    <w:p>
      <w:pPr>
        <w:numPr>
          <w:ilvl w:val="0"/>
          <w:numId w:val="31"/>
        </w:numPr>
        <w:spacing w:line="360" w:after="210" w:lineRule="auto"/>
      </w:pPr>
      <w:hyperlink r:id="rId109">
        <w:r>
          <w:rPr>
            <w:rFonts w:eastAsia="inter" w:cs="inter" w:ascii="inter" w:hAnsi="inter"/>
            <w:color w:val="#000"/>
            <w:sz w:val="18"/>
            <w:u w:val="single"/>
          </w:rPr>
          <w:t xml:space="preserve">https://archeyes.com/ziggurat-temples-architecture-mesopotamia/</w:t>
        </w:r>
      </w:hyperlink>
      <w:r>
        <w:rPr>
          <w:rFonts w:eastAsia="inter" w:cs="inter" w:ascii="inter" w:hAnsi="inter"/>
          <w:color w:val="000000"/>
          <w:sz w:val="18"/>
        </w:rPr>
        <w:t xml:space="preserve"> </w:t>
      </w:r>
    </w:p>
    <w:bookmarkStart w:id="340" w:name="fn106"/>
    <w:bookmarkEnd w:id="340"/>
    <w:p>
      <w:pPr>
        <w:numPr>
          <w:ilvl w:val="0"/>
          <w:numId w:val="31"/>
        </w:numPr>
        <w:spacing w:line="360" w:after="210" w:lineRule="auto"/>
      </w:pPr>
      <w:hyperlink r:id="rId110">
        <w:r>
          <w:rPr>
            <w:rFonts w:eastAsia="inter" w:cs="inter" w:ascii="inter" w:hAnsi="inter"/>
            <w:color w:val="#000"/>
            <w:sz w:val="18"/>
            <w:u w:val="single"/>
          </w:rPr>
          <w:t xml:space="preserve">https://en.wikipedia.org/wiki/Ziggurat</w:t>
        </w:r>
      </w:hyperlink>
      <w:r>
        <w:rPr>
          <w:rFonts w:eastAsia="inter" w:cs="inter" w:ascii="inter" w:hAnsi="inter"/>
          <w:color w:val="000000"/>
          <w:sz w:val="18"/>
        </w:rPr>
        <w:t xml:space="preserve"> </w:t>
      </w:r>
    </w:p>
    <w:bookmarkStart w:id="341" w:name="fn107"/>
    <w:bookmarkEnd w:id="341"/>
    <w:p>
      <w:pPr>
        <w:numPr>
          <w:ilvl w:val="0"/>
          <w:numId w:val="31"/>
        </w:numPr>
        <w:spacing w:line="360" w:after="210" w:lineRule="auto"/>
      </w:pPr>
      <w:hyperlink r:id="rId111">
        <w:r>
          <w:rPr>
            <w:rFonts w:eastAsia="inter" w:cs="inter" w:ascii="inter" w:hAnsi="inter"/>
            <w:color w:val="#000"/>
            <w:sz w:val="18"/>
            <w:u w:val="single"/>
          </w:rPr>
          <w:t xml:space="preserve">https://www.reddit.com/r/Mesopotamia/comments/hbqn42/sumerian_cone_mosaic_facade_from_the_inner/</w:t>
        </w:r>
      </w:hyperlink>
      <w:r>
        <w:rPr>
          <w:rFonts w:eastAsia="inter" w:cs="inter" w:ascii="inter" w:hAnsi="inter"/>
          <w:color w:val="000000"/>
          <w:sz w:val="18"/>
        </w:rPr>
        <w:t xml:space="preserve"> </w:t>
      </w:r>
    </w:p>
    <w:bookmarkStart w:id="342" w:name="fn108"/>
    <w:bookmarkEnd w:id="342"/>
    <w:p>
      <w:pPr>
        <w:numPr>
          <w:ilvl w:val="0"/>
          <w:numId w:val="31"/>
        </w:numPr>
        <w:spacing w:line="360" w:after="210" w:lineRule="auto"/>
      </w:pPr>
      <w:hyperlink r:id="rId112">
        <w:r>
          <w:rPr>
            <w:rFonts w:eastAsia="inter" w:cs="inter" w:ascii="inter" w:hAnsi="inter"/>
            <w:color w:val="#000"/>
            <w:sz w:val="18"/>
            <w:u w:val="single"/>
          </w:rPr>
          <w:t xml:space="preserve">https://www.chenarch.com/images/arch-texts/2019-01-14-ingersoll-34-47.pdf</w:t>
        </w:r>
      </w:hyperlink>
      <w:r>
        <w:rPr>
          <w:rFonts w:eastAsia="inter" w:cs="inter" w:ascii="inter" w:hAnsi="inter"/>
          <w:color w:val="000000"/>
          <w:sz w:val="18"/>
        </w:rPr>
        <w:t xml:space="preserve"> </w:t>
      </w:r>
    </w:p>
    <w:bookmarkStart w:id="343" w:name="fn109"/>
    <w:bookmarkEnd w:id="343"/>
    <w:p>
      <w:pPr>
        <w:numPr>
          <w:ilvl w:val="0"/>
          <w:numId w:val="31"/>
        </w:numPr>
        <w:spacing w:line="360" w:after="210" w:lineRule="auto"/>
      </w:pPr>
      <w:hyperlink r:id="rId113">
        <w:r>
          <w:rPr>
            <w:rFonts w:eastAsia="inter" w:cs="inter" w:ascii="inter" w:hAnsi="inter"/>
            <w:color w:val="#000"/>
            <w:sz w:val="18"/>
            <w:u w:val="single"/>
          </w:rPr>
          <w:t xml:space="preserve">https://www.etsy.com/market/ishtar_gate</w:t>
        </w:r>
      </w:hyperlink>
      <w:r>
        <w:rPr>
          <w:rFonts w:eastAsia="inter" w:cs="inter" w:ascii="inter" w:hAnsi="inter"/>
          <w:color w:val="000000"/>
          <w:sz w:val="18"/>
        </w:rPr>
        <w:t xml:space="preserve"> </w:t>
      </w:r>
    </w:p>
    <w:bookmarkStart w:id="344" w:name="fn110"/>
    <w:bookmarkEnd w:id="344"/>
    <w:p>
      <w:pPr>
        <w:numPr>
          <w:ilvl w:val="0"/>
          <w:numId w:val="31"/>
        </w:numPr>
        <w:spacing w:line="360" w:after="210" w:lineRule="auto"/>
      </w:pPr>
      <w:hyperlink r:id="rId114">
        <w:r>
          <w:rPr>
            <w:rFonts w:eastAsia="inter" w:cs="inter" w:ascii="inter" w:hAnsi="inter"/>
            <w:color w:val="#000"/>
            <w:sz w:val="18"/>
            <w:u w:val="single"/>
          </w:rPr>
          <w:t xml:space="preserve">https://www.facebook.com/groups/churchcrawling/posts/252223388632863/</w:t>
        </w:r>
      </w:hyperlink>
      <w:r>
        <w:rPr>
          <w:rFonts w:eastAsia="inter" w:cs="inter" w:ascii="inter" w:hAnsi="inter"/>
          <w:color w:val="000000"/>
          <w:sz w:val="18"/>
        </w:rPr>
        <w:t xml:space="preserve"> </w:t>
      </w:r>
    </w:p>
    <w:bookmarkStart w:id="345" w:name="fn111"/>
    <w:bookmarkEnd w:id="345"/>
    <w:p>
      <w:pPr>
        <w:numPr>
          <w:ilvl w:val="0"/>
          <w:numId w:val="31"/>
        </w:numPr>
        <w:spacing w:line="360" w:after="210" w:lineRule="auto"/>
      </w:pPr>
      <w:hyperlink r:id="rId115">
        <w:r>
          <w:rPr>
            <w:rFonts w:eastAsia="inter" w:cs="inter" w:ascii="inter" w:hAnsi="inter"/>
            <w:color w:val="#000"/>
            <w:sz w:val="18"/>
            <w:u w:val="single"/>
          </w:rPr>
          <w:t xml:space="preserve">https://en.wikipedia.org/wiki/Lozenge_(shape)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46" w:name="fn112"/>
    <w:bookmarkEnd w:id="346"/>
    <w:p>
      <w:pPr>
        <w:numPr>
          <w:ilvl w:val="0"/>
          <w:numId w:val="31"/>
        </w:numPr>
        <w:spacing w:line="360" w:after="210" w:lineRule="auto"/>
      </w:pPr>
      <w:hyperlink r:id="rId116">
        <w:r>
          <w:rPr>
            <w:rFonts w:eastAsia="inter" w:cs="inter" w:ascii="inter" w:hAnsi="inter"/>
            <w:color w:val="#000"/>
            <w:sz w:val="18"/>
            <w:u w:val="single"/>
          </w:rPr>
          <w:t xml:space="preserve">https://www.symbols.com/symbol/lozenge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47" w:name="fn113"/>
    <w:bookmarkEnd w:id="347"/>
    <w:p>
      <w:pPr>
        <w:numPr>
          <w:ilvl w:val="0"/>
          <w:numId w:val="31"/>
        </w:numPr>
        <w:spacing w:line="360" w:after="210" w:lineRule="auto"/>
      </w:pPr>
      <w:hyperlink r:id="rId117">
        <w:r>
          <w:rPr>
            <w:rFonts w:eastAsia="inter" w:cs="inter" w:ascii="inter" w:hAnsi="inter"/>
            <w:color w:val="#000"/>
            <w:sz w:val="18"/>
            <w:u w:val="single"/>
          </w:rPr>
          <w:t xml:space="preserve">https://tao-talk.com/2019/04/13/a2z-april-2019-l-lozenge/</w:t>
        </w:r>
      </w:hyperlink>
      <w:r>
        <w:rPr>
          <w:rFonts w:eastAsia="inter" w:cs="inter" w:ascii="inter" w:hAnsi="inter"/>
          <w:color w:val="000000"/>
          <w:sz w:val="18"/>
        </w:rPr>
        <w:t xml:space="preserve"> </w:t>
      </w:r>
    </w:p>
    <w:bookmarkStart w:id="348" w:name="fn114"/>
    <w:bookmarkEnd w:id="348"/>
    <w:p>
      <w:pPr>
        <w:numPr>
          <w:ilvl w:val="0"/>
          <w:numId w:val="31"/>
        </w:numPr>
        <w:spacing w:line="360" w:after="210" w:lineRule="auto"/>
      </w:pPr>
      <w:hyperlink r:id="rId118">
        <w:r>
          <w:rPr>
            <w:rFonts w:eastAsia="inter" w:cs="inter" w:ascii="inter" w:hAnsi="inter"/>
            <w:color w:val="#000"/>
            <w:sz w:val="18"/>
            <w:u w:val="single"/>
          </w:rPr>
          <w:t xml:space="preserve">https://www.academia.edu/23578917/Of_Omegas_and_Rhombs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49" w:name="fn115"/>
    <w:bookmarkEnd w:id="349"/>
    <w:p>
      <w:pPr>
        <w:numPr>
          <w:ilvl w:val="0"/>
          <w:numId w:val="31"/>
        </w:numPr>
        <w:spacing w:line="360" w:after="210" w:lineRule="auto"/>
      </w:pPr>
      <w:hyperlink r:id="rId119">
        <w:r>
          <w:rPr>
            <w:rFonts w:eastAsia="inter" w:cs="inter" w:ascii="inter" w:hAnsi="inter"/>
            <w:color w:val="#000"/>
            <w:sz w:val="18"/>
            <w:u w:val="single"/>
          </w:rPr>
          <w:t xml:space="preserve">https://you.stonybrook.edu/undergraduatehistoryjournal/2023/12/03/protection-devotion-and-destruction-the-symbolism-of-eyes-in-ancient-mesopotamian-art/</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50" w:name="fn116"/>
    <w:bookmarkEnd w:id="350"/>
    <w:p>
      <w:pPr>
        <w:numPr>
          <w:ilvl w:val="0"/>
          <w:numId w:val="31"/>
        </w:numPr>
        <w:spacing w:line="360" w:after="210" w:lineRule="auto"/>
      </w:pPr>
      <w:hyperlink r:id="rId120">
        <w:r>
          <w:rPr>
            <w:rFonts w:eastAsia="inter" w:cs="inter" w:ascii="inter" w:hAnsi="inter"/>
            <w:color w:val="#000"/>
            <w:sz w:val="18"/>
            <w:u w:val="single"/>
          </w:rPr>
          <w:t xml:space="preserve">http://enenuru.net/storage/Goff-Symbols of prehistoric Mesopotamia-Yale University Press (1963).pdf</w:t>
        </w:r>
      </w:hyperlink>
      <w:r>
        <w:rPr>
          <w:rFonts w:eastAsia="inter" w:cs="inter" w:ascii="inter" w:hAnsi="inter"/>
          <w:color w:val="000000"/>
          <w:sz w:val="18"/>
        </w:rPr>
        <w:t xml:space="preserve"> </w:t>
      </w:r>
    </w:p>
    <w:bookmarkStart w:id="351" w:name="fn117"/>
    <w:bookmarkEnd w:id="351"/>
    <w:p>
      <w:pPr>
        <w:numPr>
          <w:ilvl w:val="0"/>
          <w:numId w:val="31"/>
        </w:numPr>
        <w:spacing w:line="360" w:after="210" w:lineRule="auto"/>
      </w:pPr>
      <w:hyperlink r:id="rId121">
        <w:r>
          <w:rPr>
            <w:rFonts w:eastAsia="inter" w:cs="inter" w:ascii="inter" w:hAnsi="inter"/>
            <w:color w:val="#000"/>
            <w:sz w:val="18"/>
            <w:u w:val="single"/>
          </w:rPr>
          <w:t xml:space="preserve">https://archive.org/download/symprehist00goff/symprehist00goff.pdf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52" w:name="fn118"/>
    <w:bookmarkEnd w:id="352"/>
    <w:p>
      <w:pPr>
        <w:numPr>
          <w:ilvl w:val="0"/>
          <w:numId w:val="31"/>
        </w:numPr>
        <w:spacing w:line="360" w:after="210" w:lineRule="auto"/>
      </w:pPr>
      <w:hyperlink r:id="rId122">
        <w:r>
          <w:rPr>
            <w:rFonts w:eastAsia="inter" w:cs="inter" w:ascii="inter" w:hAnsi="inter"/>
            <w:color w:val="#000"/>
            <w:sz w:val="18"/>
            <w:u w:val="single"/>
          </w:rPr>
          <w:t xml:space="preserve">https://www.eternalsymbols.com/a-global-and-an-eternal-symbol/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53" w:name="fn119"/>
    <w:bookmarkEnd w:id="353"/>
    <w:p>
      <w:pPr>
        <w:numPr>
          <w:ilvl w:val="0"/>
          <w:numId w:val="31"/>
        </w:numPr>
        <w:spacing w:line="360" w:after="210" w:lineRule="auto"/>
      </w:pPr>
      <w:hyperlink r:id="rId123">
        <w:r>
          <w:rPr>
            <w:rFonts w:eastAsia="inter" w:cs="inter" w:ascii="inter" w:hAnsi="inter"/>
            <w:color w:val="#000"/>
            <w:sz w:val="18"/>
            <w:u w:val="single"/>
          </w:rPr>
          <w:t xml:space="preserve">https://www.thegns.org/blog/secrets-in-the-stones-2</w:t>
        </w:r>
      </w:hyperlink>
      <w:r>
        <w:rPr>
          <w:rFonts w:eastAsia="inter" w:cs="inter" w:ascii="inter" w:hAnsi="inter"/>
          <w:color w:val="000000"/>
          <w:sz w:val="18"/>
        </w:rPr>
        <w:t xml:space="preserve"> </w:t>
      </w:r>
    </w:p>
    <w:bookmarkStart w:id="354" w:name="fn120"/>
    <w:bookmarkEnd w:id="354"/>
    <w:p>
      <w:pPr>
        <w:numPr>
          <w:ilvl w:val="0"/>
          <w:numId w:val="31"/>
        </w:numPr>
        <w:spacing w:line="360" w:after="210" w:lineRule="auto"/>
      </w:pPr>
      <w:hyperlink r:id="rId124">
        <w:r>
          <w:rPr>
            <w:rFonts w:eastAsia="inter" w:cs="inter" w:ascii="inter" w:hAnsi="inter"/>
            <w:color w:val="#000"/>
            <w:sz w:val="18"/>
            <w:u w:val="single"/>
          </w:rPr>
          <w:t xml:space="preserve">https://angelicscalliwags.com/cone-mosaics-urek/</w:t>
        </w:r>
      </w:hyperlink>
      <w:r>
        <w:rPr>
          <w:rFonts w:eastAsia="inter" w:cs="inter" w:ascii="inter" w:hAnsi="inter"/>
          <w:color w:val="000000"/>
          <w:sz w:val="18"/>
        </w:rPr>
        <w:t xml:space="preserve"> </w:t>
      </w:r>
    </w:p>
    <w:bookmarkStart w:id="355" w:name="fn121"/>
    <w:bookmarkEnd w:id="355"/>
    <w:p>
      <w:pPr>
        <w:numPr>
          <w:ilvl w:val="0"/>
          <w:numId w:val="31"/>
        </w:numPr>
        <w:spacing w:line="360" w:after="210" w:lineRule="auto"/>
      </w:pPr>
      <w:hyperlink r:id="rId125">
        <w:r>
          <w:rPr>
            <w:rFonts w:eastAsia="inter" w:cs="inter" w:ascii="inter" w:hAnsi="inter"/>
            <w:color w:val="#000"/>
            <w:sz w:val="18"/>
            <w:u w:val="single"/>
          </w:rPr>
          <w:t xml:space="preserve">https://www.grossotile.com/the-origins-of-mosaic-art-the-birth-of-cone-mosaics/</w:t>
        </w:r>
      </w:hyperlink>
      <w:r>
        <w:rPr>
          <w:rFonts w:eastAsia="inter" w:cs="inter" w:ascii="inter" w:hAnsi="inter"/>
          <w:color w:val="000000"/>
          <w:sz w:val="18"/>
        </w:rPr>
        <w:t xml:space="preserve"> </w:t>
      </w:r>
    </w:p>
    <w:bookmarkStart w:id="356" w:name="fn122"/>
    <w:bookmarkEnd w:id="356"/>
    <w:p>
      <w:pPr>
        <w:numPr>
          <w:ilvl w:val="0"/>
          <w:numId w:val="31"/>
        </w:numPr>
        <w:spacing w:line="360" w:after="210" w:lineRule="auto"/>
      </w:pPr>
      <w:hyperlink r:id="rId126">
        <w:r>
          <w:rPr>
            <w:rFonts w:eastAsia="inter" w:cs="inter" w:ascii="inter" w:hAnsi="inter"/>
            <w:color w:val="#000"/>
            <w:sz w:val="18"/>
            <w:u w:val="single"/>
          </w:rPr>
          <w:t xml:space="preserve">https://en.wikipedia.org/wiki/Architecture_of_Mesopotamia</w:t>
        </w:r>
      </w:hyperlink>
      <w:r>
        <w:rPr>
          <w:rFonts w:eastAsia="inter" w:cs="inter" w:ascii="inter" w:hAnsi="inter"/>
          <w:color w:val="000000"/>
          <w:sz w:val="18"/>
        </w:rPr>
        <w:t xml:space="preserve"> </w:t>
      </w:r>
    </w:p>
    <w:bookmarkStart w:id="357" w:name="fn123"/>
    <w:bookmarkEnd w:id="357"/>
    <w:p>
      <w:pPr>
        <w:numPr>
          <w:ilvl w:val="0"/>
          <w:numId w:val="31"/>
        </w:numPr>
        <w:spacing w:line="360" w:after="210" w:lineRule="auto"/>
      </w:pPr>
      <w:hyperlink r:id="rId127">
        <w:r>
          <w:rPr>
            <w:rFonts w:eastAsia="inter" w:cs="inter" w:ascii="inter" w:hAnsi="inter"/>
            <w:color w:val="#000"/>
            <w:sz w:val="18"/>
            <w:u w:val="single"/>
          </w:rPr>
          <w:t xml:space="preserve">https://www.britannica.com/art/Mesopotamian-art/Sumerian-period</w:t>
        </w:r>
      </w:hyperlink>
      <w:r>
        <w:rPr>
          <w:rFonts w:eastAsia="inter" w:cs="inter" w:ascii="inter" w:hAnsi="inter"/>
          <w:color w:val="000000"/>
          <w:sz w:val="18"/>
        </w:rPr>
        <w:t xml:space="preserve"> </w:t>
      </w:r>
    </w:p>
    <w:bookmarkStart w:id="358" w:name="fn124"/>
    <w:bookmarkEnd w:id="358"/>
    <w:p>
      <w:pPr>
        <w:numPr>
          <w:ilvl w:val="0"/>
          <w:numId w:val="31"/>
        </w:numPr>
        <w:spacing w:line="360" w:after="210" w:lineRule="auto"/>
      </w:pPr>
      <w:hyperlink r:id="rId128">
        <w:r>
          <w:rPr>
            <w:rFonts w:eastAsia="inter" w:cs="inter" w:ascii="inter" w:hAnsi="inter"/>
            <w:color w:val="#000"/>
            <w:sz w:val="18"/>
            <w:u w:val="single"/>
          </w:rPr>
          <w:t xml:space="preserve">https://www.facebook.com/groups/2399377773554039/posts/2450999598391856/</w:t>
        </w:r>
      </w:hyperlink>
      <w:r>
        <w:rPr>
          <w:rFonts w:eastAsia="inter" w:cs="inter" w:ascii="inter" w:hAnsi="inter"/>
          <w:color w:val="000000"/>
          <w:sz w:val="18"/>
        </w:rPr>
        <w:t xml:space="preserve"> </w:t>
      </w:r>
    </w:p>
    <w:bookmarkStart w:id="359" w:name="fn125"/>
    <w:bookmarkEnd w:id="359"/>
    <w:p>
      <w:pPr>
        <w:numPr>
          <w:ilvl w:val="0"/>
          <w:numId w:val="31"/>
        </w:numPr>
        <w:spacing w:line="360" w:after="210" w:lineRule="auto"/>
      </w:pPr>
      <w:hyperlink r:id="rId129">
        <w:r>
          <w:rPr>
            <w:rFonts w:eastAsia="inter" w:cs="inter" w:ascii="inter" w:hAnsi="inter"/>
            <w:color w:val="#000"/>
            <w:sz w:val="18"/>
            <w:u w:val="single"/>
          </w:rPr>
          <w:t xml:space="preserve">https://tuscriaturas.home.blog/wp-content/uploads/2018/12/encyclopedia-of-gods-demons-and-symbols-of-ancient-mesopotamia-an-illustrated-dictionary-jeremy-black-anthony-green.pdf</w:t>
        </w:r>
      </w:hyperlink>
      <w:r>
        <w:rPr>
          <w:rFonts w:eastAsia="inter" w:cs="inter" w:ascii="inter" w:hAnsi="inter"/>
          <w:color w:val="000000"/>
          <w:sz w:val="18"/>
        </w:rPr>
        <w:t xml:space="preserve"> </w:t>
      </w:r>
    </w:p>
    <w:bookmarkStart w:id="360" w:name="fn126"/>
    <w:bookmarkEnd w:id="360"/>
    <w:p>
      <w:pPr>
        <w:numPr>
          <w:ilvl w:val="0"/>
          <w:numId w:val="31"/>
        </w:numPr>
        <w:spacing w:line="360" w:after="210" w:lineRule="auto"/>
      </w:pPr>
      <w:hyperlink r:id="rId130">
        <w:r>
          <w:rPr>
            <w:rFonts w:eastAsia="inter" w:cs="inter" w:ascii="inter" w:hAnsi="inter"/>
            <w:color w:val="#000"/>
            <w:sz w:val="18"/>
            <w:u w:val="single"/>
          </w:rPr>
          <w:t xml:space="preserve">https://enenuru.proboards.com/thread/193/exploring-archaic-standards-emblems-symbols?page=3</w:t>
        </w:r>
      </w:hyperlink>
      <w:r>
        <w:rPr>
          <w:rFonts w:eastAsia="inter" w:cs="inter" w:ascii="inter" w:hAnsi="inter"/>
          <w:color w:val="000000"/>
          <w:sz w:val="18"/>
        </w:rPr>
        <w:t xml:space="preserve"> </w:t>
      </w:r>
    </w:p>
    <w:bookmarkStart w:id="361" w:name="fn127"/>
    <w:bookmarkEnd w:id="361"/>
    <w:p>
      <w:pPr>
        <w:numPr>
          <w:ilvl w:val="0"/>
          <w:numId w:val="31"/>
        </w:numPr>
        <w:spacing w:line="360" w:after="210" w:lineRule="auto"/>
      </w:pPr>
      <w:hyperlink r:id="rId131">
        <w:r>
          <w:rPr>
            <w:rFonts w:eastAsia="inter" w:cs="inter" w:ascii="inter" w:hAnsi="inter"/>
            <w:color w:val="#000"/>
            <w:sz w:val="18"/>
            <w:u w:val="single"/>
          </w:rPr>
          <w:t xml:space="preserve">https://irisharchaeology.org/rock-art/</w:t>
        </w:r>
      </w:hyperlink>
      <w:r>
        <w:rPr>
          <w:rFonts w:eastAsia="inter" w:cs="inter" w:ascii="inter" w:hAnsi="inter"/>
          <w:color w:val="000000"/>
          <w:sz w:val="18"/>
        </w:rPr>
        <w:t xml:space="preserve"> </w:t>
      </w:r>
    </w:p>
    <w:bookmarkStart w:id="362" w:name="fn128"/>
    <w:bookmarkEnd w:id="362"/>
    <w:p>
      <w:pPr>
        <w:numPr>
          <w:ilvl w:val="0"/>
          <w:numId w:val="31"/>
        </w:numPr>
        <w:spacing w:line="360" w:after="210" w:lineRule="auto"/>
      </w:pPr>
      <w:hyperlink r:id="rId132">
        <w:r>
          <w:rPr>
            <w:rFonts w:eastAsia="inter" w:cs="inter" w:ascii="inter" w:hAnsi="inter"/>
            <w:color w:val="#000"/>
            <w:sz w:val="18"/>
            <w:u w:val="single"/>
          </w:rPr>
          <w:t xml:space="preserve">https://www.instagram.com/reel/DLHjDKVI4s2/?hl=en</w:t>
        </w:r>
      </w:hyperlink>
      <w:r>
        <w:rPr>
          <w:rFonts w:eastAsia="inter" w:cs="inter" w:ascii="inter" w:hAnsi="inter"/>
          <w:color w:val="000000"/>
          <w:sz w:val="18"/>
        </w:rPr>
        <w:t xml:space="preserve"> </w:t>
      </w:r>
    </w:p>
    <w:bookmarkStart w:id="363" w:name="fn129"/>
    <w:bookmarkEnd w:id="363"/>
    <w:p>
      <w:pPr>
        <w:numPr>
          <w:ilvl w:val="0"/>
          <w:numId w:val="31"/>
        </w:numPr>
        <w:spacing w:line="360" w:after="210" w:lineRule="auto"/>
      </w:pPr>
      <w:hyperlink r:id="rId133">
        <w:r>
          <w:rPr>
            <w:rFonts w:eastAsia="inter" w:cs="inter" w:ascii="inter" w:hAnsi="inter"/>
            <w:color w:val="#000"/>
            <w:sz w:val="18"/>
            <w:u w:val="single"/>
          </w:rPr>
          <w:t xml:space="preserve">https://www.facebook.com/groups/mythicalirelandgroup/posts/1046559222861757/</w:t>
        </w:r>
      </w:hyperlink>
      <w:r>
        <w:rPr>
          <w:rFonts w:eastAsia="inter" w:cs="inter" w:ascii="inter" w:hAnsi="inter"/>
          <w:color w:val="000000"/>
          <w:sz w:val="18"/>
        </w:rPr>
        <w:t xml:space="preserve"> </w:t>
      </w:r>
    </w:p>
    <w:bookmarkStart w:id="364" w:name="fn130"/>
    <w:bookmarkEnd w:id="364"/>
    <w:p>
      <w:pPr>
        <w:numPr>
          <w:ilvl w:val="0"/>
          <w:numId w:val="31"/>
        </w:numPr>
        <w:spacing w:line="360" w:after="210" w:lineRule="auto"/>
      </w:pPr>
      <w:hyperlink r:id="rId134">
        <w:r>
          <w:rPr>
            <w:rFonts w:eastAsia="inter" w:cs="inter" w:ascii="inter" w:hAnsi="inter"/>
            <w:color w:val="#000"/>
            <w:sz w:val="18"/>
            <w:u w:val="single"/>
          </w:rPr>
          <w:t xml:space="preserve">http://tallgrassandthunder.info/geometry/</w:t>
        </w:r>
      </w:hyperlink>
      <w:r>
        <w:rPr>
          <w:rFonts w:eastAsia="inter" w:cs="inter" w:ascii="inter" w:hAnsi="inter"/>
          <w:color w:val="000000"/>
          <w:sz w:val="18"/>
        </w:rPr>
        <w:t xml:space="preserve"> </w:t>
      </w:r>
    </w:p>
    <w:bookmarkStart w:id="365" w:name="fn131"/>
    <w:bookmarkEnd w:id="365"/>
    <w:p>
      <w:pPr>
        <w:numPr>
          <w:ilvl w:val="0"/>
          <w:numId w:val="31"/>
        </w:numPr>
        <w:spacing w:line="360" w:after="210" w:lineRule="auto"/>
      </w:pPr>
      <w:hyperlink r:id="rId135">
        <w:r>
          <w:rPr>
            <w:rFonts w:eastAsia="inter" w:cs="inter" w:ascii="inter" w:hAnsi="inter"/>
            <w:color w:val="#000"/>
            <w:sz w:val="18"/>
            <w:u w:val="single"/>
          </w:rPr>
          <w:t xml:space="preserve">https://www.colorado.edu/classics/2018/06/14/geometric-period-pottery-and-its-decoration</w:t>
        </w:r>
      </w:hyperlink>
      <w:r>
        <w:rPr>
          <w:rFonts w:eastAsia="inter" w:cs="inter" w:ascii="inter" w:hAnsi="inter"/>
          <w:color w:val="000000"/>
          <w:sz w:val="18"/>
        </w:rPr>
        <w:t xml:space="preserve"> </w:t>
      </w:r>
    </w:p>
    <w:bookmarkStart w:id="366" w:name="fn132"/>
    <w:bookmarkEnd w:id="366"/>
    <w:p>
      <w:pPr>
        <w:numPr>
          <w:ilvl w:val="0"/>
          <w:numId w:val="31"/>
        </w:numPr>
        <w:spacing w:line="360" w:after="210" w:lineRule="auto"/>
      </w:pPr>
      <w:hyperlink r:id="rId136">
        <w:r>
          <w:rPr>
            <w:rFonts w:eastAsia="inter" w:cs="inter" w:ascii="inter" w:hAnsi="inter"/>
            <w:color w:val="#000"/>
            <w:sz w:val="18"/>
            <w:u w:val="single"/>
          </w:rPr>
          <w:t xml:space="preserve">https://www.californiaprehistory.com/documents/MoreonLozengeStones.pdf</w:t>
        </w:r>
      </w:hyperlink>
      <w:r>
        <w:rPr>
          <w:rFonts w:eastAsia="inter" w:cs="inter" w:ascii="inter" w:hAnsi="inter"/>
          <w:color w:val="000000"/>
          <w:sz w:val="18"/>
        </w:rPr>
        <w:t xml:space="preserve"> </w:t>
      </w:r>
    </w:p>
    <w:bookmarkStart w:id="367" w:name="fn133"/>
    <w:bookmarkEnd w:id="367"/>
    <w:p>
      <w:pPr>
        <w:numPr>
          <w:ilvl w:val="0"/>
          <w:numId w:val="31"/>
        </w:numPr>
        <w:spacing w:line="360" w:after="210" w:lineRule="auto"/>
      </w:pPr>
      <w:hyperlink r:id="rId137">
        <w:r>
          <w:rPr>
            <w:rFonts w:eastAsia="inter" w:cs="inter" w:ascii="inter" w:hAnsi="inter"/>
            <w:color w:val="#000"/>
            <w:sz w:val="18"/>
            <w:u w:val="single"/>
          </w:rPr>
          <w:t xml:space="preserve">https://www.lemon8-app.com/@giimmii_official/7516171401653649966?region=us</w:t>
        </w:r>
      </w:hyperlink>
      <w:r>
        <w:rPr>
          <w:rFonts w:eastAsia="inter" w:cs="inter" w:ascii="inter" w:hAnsi="inter"/>
          <w:color w:val="000000"/>
          <w:sz w:val="18"/>
        </w:rPr>
        <w:t xml:space="preserve"> </w:t>
      </w:r>
    </w:p>
    <w:bookmarkStart w:id="368" w:name="fn134"/>
    <w:bookmarkEnd w:id="368"/>
    <w:p>
      <w:pPr>
        <w:numPr>
          <w:ilvl w:val="0"/>
          <w:numId w:val="31"/>
        </w:numPr>
        <w:spacing w:line="360" w:after="210" w:lineRule="auto"/>
      </w:pPr>
      <w:hyperlink r:id="rId138">
        <w:r>
          <w:rPr>
            <w:rFonts w:eastAsia="inter" w:cs="inter" w:ascii="inter" w:hAnsi="inter"/>
            <w:color w:val="#000"/>
            <w:sz w:val="18"/>
            <w:u w:val="single"/>
          </w:rPr>
          <w:t xml:space="preserve">https://theancienthome.com/blogs/blog-and-news/roman-mosaic-patterns</w:t>
        </w:r>
      </w:hyperlink>
      <w:r>
        <w:rPr>
          <w:rFonts w:eastAsia="inter" w:cs="inter" w:ascii="inter" w:hAnsi="inter"/>
          <w:color w:val="000000"/>
          <w:sz w:val="18"/>
        </w:rPr>
        <w:t xml:space="preserve"> </w:t>
      </w:r>
    </w:p>
    <w:bookmarkStart w:id="369" w:name="fn135"/>
    <w:bookmarkEnd w:id="369"/>
    <w:p>
      <w:pPr>
        <w:numPr>
          <w:ilvl w:val="0"/>
          <w:numId w:val="31"/>
        </w:numPr>
        <w:spacing w:line="360" w:after="210" w:lineRule="auto"/>
      </w:pPr>
      <w:hyperlink r:id="rId139">
        <w:r>
          <w:rPr>
            <w:rFonts w:eastAsia="inter" w:cs="inter" w:ascii="inter" w:hAnsi="inter"/>
            <w:color w:val="#000"/>
            <w:sz w:val="18"/>
            <w:u w:val="single"/>
          </w:rPr>
          <w:t xml:space="preserve">https://en.wikipedia.org/wiki/Lozenge_(heraldry)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70" w:name="fn136"/>
    <w:bookmarkEnd w:id="370"/>
    <w:p>
      <w:pPr>
        <w:numPr>
          <w:ilvl w:val="0"/>
          <w:numId w:val="31"/>
        </w:numPr>
        <w:spacing w:line="360" w:after="210" w:lineRule="auto"/>
      </w:pPr>
      <w:hyperlink r:id="rId140">
        <w:r>
          <w:rPr>
            <w:rFonts w:eastAsia="inter" w:cs="inter" w:ascii="inter" w:hAnsi="inter"/>
            <w:color w:val="#000"/>
            <w:sz w:val="18"/>
            <w:u w:val="single"/>
          </w:rPr>
          <w:t xml:space="preserve">https://en.wikipedia.org/wiki/Lozenge_(shape)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71" w:name="fn137"/>
    <w:bookmarkEnd w:id="371"/>
    <w:p>
      <w:pPr>
        <w:numPr>
          <w:ilvl w:val="0"/>
          <w:numId w:val="31"/>
        </w:numPr>
        <w:spacing w:line="360" w:after="210" w:lineRule="auto"/>
      </w:pPr>
      <w:hyperlink r:id="rId141">
        <w:r>
          <w:rPr>
            <w:rFonts w:eastAsia="inter" w:cs="inter" w:ascii="inter" w:hAnsi="inter"/>
            <w:color w:val="#000"/>
            <w:sz w:val="18"/>
            <w:u w:val="single"/>
          </w:rPr>
          <w:t xml:space="preserve">https://www.symbols.com/symbol/lozenge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72" w:name="fn138"/>
    <w:bookmarkEnd w:id="372"/>
    <w:p>
      <w:pPr>
        <w:numPr>
          <w:ilvl w:val="0"/>
          <w:numId w:val="31"/>
        </w:numPr>
        <w:spacing w:line="360" w:after="210" w:lineRule="auto"/>
      </w:pPr>
      <w:hyperlink r:id="rId142">
        <w:r>
          <w:rPr>
            <w:rFonts w:eastAsia="inter" w:cs="inter" w:ascii="inter" w:hAnsi="inter"/>
            <w:color w:val="#000"/>
            <w:sz w:val="18"/>
            <w:u w:val="single"/>
          </w:rPr>
          <w:t xml:space="preserve">https://www.academia.edu/38900455/A_comparison_of_the_polychrome_geometric_patterns_painted_on_Egyptian_palace_façades_false_doors_with_potential_counterparts_in_Mesopotamia</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73" w:name="fn139"/>
    <w:bookmarkEnd w:id="373"/>
    <w:p>
      <w:pPr>
        <w:numPr>
          <w:ilvl w:val="0"/>
          <w:numId w:val="31"/>
        </w:numPr>
        <w:spacing w:line="360" w:after="210" w:lineRule="auto"/>
      </w:pPr>
      <w:hyperlink r:id="rId143">
        <w:r>
          <w:rPr>
            <w:rFonts w:eastAsia="inter" w:cs="inter" w:ascii="inter" w:hAnsi="inter"/>
            <w:color w:val="#000"/>
            <w:sz w:val="18"/>
            <w:u w:val="single"/>
          </w:rPr>
          <w:t xml:space="preserve">https://angelicscalliwags.com/cone-mosaics-urek/</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74" w:name="fn140"/>
    <w:bookmarkEnd w:id="374"/>
    <w:p>
      <w:pPr>
        <w:numPr>
          <w:ilvl w:val="0"/>
          <w:numId w:val="31"/>
        </w:numPr>
        <w:spacing w:line="360" w:after="210" w:lineRule="auto"/>
      </w:pPr>
      <w:hyperlink r:id="rId144">
        <w:r>
          <w:rPr>
            <w:rFonts w:eastAsia="inter" w:cs="inter" w:ascii="inter" w:hAnsi="inter"/>
            <w:color w:val="#000"/>
            <w:sz w:val="18"/>
            <w:u w:val="single"/>
          </w:rPr>
          <w:t xml:space="preserve">https://www.grossotile.com/the-origins-of-mosaic-art-the-birth-of-cone-mosaics/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75" w:name="fn141"/>
    <w:bookmarkEnd w:id="375"/>
    <w:p>
      <w:pPr>
        <w:numPr>
          <w:ilvl w:val="0"/>
          <w:numId w:val="31"/>
        </w:numPr>
        <w:spacing w:line="360" w:after="210" w:lineRule="auto"/>
      </w:pPr>
      <w:hyperlink r:id="rId145">
        <w:r>
          <w:rPr>
            <w:rFonts w:eastAsia="inter" w:cs="inter" w:ascii="inter" w:hAnsi="inter"/>
            <w:color w:val="#000"/>
            <w:sz w:val="18"/>
            <w:u w:val="single"/>
          </w:rPr>
          <w:t xml:space="preserve">https://en.wikipedia.org/wiki/Architecture_of_Mesopotamia</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76" w:name="fn142"/>
    <w:bookmarkEnd w:id="376"/>
    <w:p>
      <w:pPr>
        <w:numPr>
          <w:ilvl w:val="0"/>
          <w:numId w:val="31"/>
        </w:numPr>
        <w:spacing w:line="360" w:after="210" w:lineRule="auto"/>
      </w:pPr>
      <w:hyperlink r:id="rId146">
        <w:r>
          <w:rPr>
            <w:rFonts w:eastAsia="inter" w:cs="inter" w:ascii="inter" w:hAnsi="inter"/>
            <w:color w:val="#000"/>
            <w:sz w:val="18"/>
            <w:u w:val="single"/>
          </w:rPr>
          <w:t xml:space="preserve">https://www.britannica.com/art/Mesopotamian-art/Sumerian-period</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77" w:name="fn143"/>
    <w:bookmarkEnd w:id="377"/>
    <w:p>
      <w:pPr>
        <w:numPr>
          <w:ilvl w:val="0"/>
          <w:numId w:val="31"/>
        </w:numPr>
        <w:spacing w:line="360" w:after="210" w:lineRule="auto"/>
      </w:pPr>
      <w:hyperlink r:id="rId147">
        <w:r>
          <w:rPr>
            <w:rFonts w:eastAsia="inter" w:cs="inter" w:ascii="inter" w:hAnsi="inter"/>
            <w:color w:val="#000"/>
            <w:sz w:val="18"/>
            <w:u w:val="single"/>
          </w:rPr>
          <w:t xml:space="preserve">https://core.ac.uk/download/pdf/52940292.pdf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78" w:name="fn144"/>
    <w:bookmarkEnd w:id="378"/>
    <w:p>
      <w:pPr>
        <w:numPr>
          <w:ilvl w:val="0"/>
          <w:numId w:val="31"/>
        </w:numPr>
        <w:spacing w:line="360" w:after="210" w:lineRule="auto"/>
      </w:pPr>
      <w:hyperlink r:id="rId148">
        <w:r>
          <w:rPr>
            <w:rFonts w:eastAsia="inter" w:cs="inter" w:ascii="inter" w:hAnsi="inter"/>
            <w:color w:val="#000"/>
            <w:sz w:val="18"/>
            <w:u w:val="single"/>
          </w:rPr>
          <w:t xml:space="preserve">https://www.jstage.jst.go.jp/article/orient/59/0/59_5/_pdf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79" w:name="fn145"/>
    <w:bookmarkEnd w:id="379"/>
    <w:p>
      <w:pPr>
        <w:numPr>
          <w:ilvl w:val="0"/>
          <w:numId w:val="31"/>
        </w:numPr>
        <w:spacing w:line="360" w:after="210" w:lineRule="auto"/>
      </w:pPr>
      <w:hyperlink r:id="rId149">
        <w:r>
          <w:rPr>
            <w:rFonts w:eastAsia="inter" w:cs="inter" w:ascii="inter" w:hAnsi="inter"/>
            <w:color w:val="#000"/>
            <w:sz w:val="18"/>
            <w:u w:val="single"/>
          </w:rPr>
          <w:t xml:space="preserve">https://www.familytreesandcrests.com/heraldry-lozenge</w:t>
        </w:r>
      </w:hyperlink>
      <w:r>
        <w:rPr>
          <w:rFonts w:eastAsia="inter" w:cs="inter" w:ascii="inter" w:hAnsi="inter"/>
          <w:color w:val="000000"/>
          <w:sz w:val="18"/>
        </w:rPr>
        <w:t xml:space="preserve"> </w:t>
      </w:r>
    </w:p>
    <w:bookmarkStart w:id="380" w:name="fn146"/>
    <w:bookmarkEnd w:id="380"/>
    <w:p>
      <w:pPr>
        <w:numPr>
          <w:ilvl w:val="0"/>
          <w:numId w:val="31"/>
        </w:numPr>
        <w:spacing w:line="360" w:after="210" w:lineRule="auto"/>
      </w:pPr>
      <w:hyperlink r:id="rId150">
        <w:r>
          <w:rPr>
            <w:rFonts w:eastAsia="inter" w:cs="inter" w:ascii="inter" w:hAnsi="inter"/>
            <w:color w:val="#000"/>
            <w:sz w:val="18"/>
            <w:u w:val="single"/>
          </w:rPr>
          <w:t xml:space="preserve">https://en.wikipedia.org/wiki/Escutcheon_(heraldry)</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81" w:name="fn147"/>
    <w:bookmarkEnd w:id="381"/>
    <w:p>
      <w:pPr>
        <w:numPr>
          <w:ilvl w:val="0"/>
          <w:numId w:val="31"/>
        </w:numPr>
        <w:spacing w:line="360" w:after="210" w:lineRule="auto"/>
      </w:pPr>
      <w:hyperlink r:id="rId151">
        <w:r>
          <w:rPr>
            <w:rFonts w:eastAsia="inter" w:cs="inter" w:ascii="inter" w:hAnsi="inter"/>
            <w:color w:val="#000"/>
            <w:sz w:val="18"/>
            <w:u w:val="single"/>
          </w:rPr>
          <w:t xml:space="preserve">https://celticstudio.shop/blogs/article/coat-of-arms-symbols</w:t>
        </w:r>
      </w:hyperlink>
      <w:r>
        <w:rPr>
          <w:rFonts w:eastAsia="inter" w:cs="inter" w:ascii="inter" w:hAnsi="inter"/>
          <w:color w:val="000000"/>
          <w:sz w:val="18"/>
        </w:rPr>
        <w:t xml:space="preserve"> </w:t>
      </w:r>
    </w:p>
    <w:bookmarkStart w:id="382" w:name="fn148"/>
    <w:bookmarkEnd w:id="382"/>
    <w:p>
      <w:pPr>
        <w:numPr>
          <w:ilvl w:val="0"/>
          <w:numId w:val="31"/>
        </w:numPr>
        <w:spacing w:line="360" w:after="210" w:lineRule="auto"/>
      </w:pPr>
      <w:hyperlink r:id="rId152">
        <w:r>
          <w:rPr>
            <w:rFonts w:eastAsia="inter" w:cs="inter" w:ascii="inter" w:hAnsi="inter"/>
            <w:color w:val="#000"/>
            <w:sz w:val="18"/>
            <w:u w:val="single"/>
          </w:rPr>
          <w:t xml:space="preserve">https://www.thegns.org/blog/secrets-in-the-stones-2</w:t>
        </w:r>
      </w:hyperlink>
      <w:r>
        <w:rPr>
          <w:rFonts w:eastAsia="inter" w:cs="inter" w:ascii="inter" w:hAnsi="inter"/>
          <w:color w:val="000000"/>
          <w:sz w:val="18"/>
        </w:rPr>
        <w:t xml:space="preserve"> </w:t>
      </w:r>
    </w:p>
    <w:bookmarkStart w:id="383" w:name="fn149"/>
    <w:bookmarkEnd w:id="383"/>
    <w:p>
      <w:pPr>
        <w:numPr>
          <w:ilvl w:val="0"/>
          <w:numId w:val="31"/>
        </w:numPr>
        <w:spacing w:line="360" w:after="210" w:lineRule="auto"/>
      </w:pPr>
      <w:hyperlink r:id="rId153">
        <w:r>
          <w:rPr>
            <w:rFonts w:eastAsia="inter" w:cs="inter" w:ascii="inter" w:hAnsi="inter"/>
            <w:color w:val="#000"/>
            <w:sz w:val="18"/>
            <w:u w:val="single"/>
          </w:rPr>
          <w:t xml:space="preserve">https://you.stonybrook.edu/undergraduatehistoryjournal/2023/12/03/protection-devotion-and-destruction-the-symbolism-of-eyes-in-ancient-mesopotamian-art/</w:t>
        </w:r>
      </w:hyperlink>
      <w:r>
        <w:rPr>
          <w:rFonts w:eastAsia="inter" w:cs="inter" w:ascii="inter" w:hAnsi="inter"/>
          <w:color w:val="000000"/>
          <w:sz w:val="18"/>
        </w:rPr>
        <w:t xml:space="preserve"> </w:t>
      </w:r>
    </w:p>
    <w:bookmarkStart w:id="384" w:name="fn150"/>
    <w:bookmarkEnd w:id="384"/>
    <w:p>
      <w:pPr>
        <w:numPr>
          <w:ilvl w:val="0"/>
          <w:numId w:val="31"/>
        </w:numPr>
        <w:spacing w:line="360" w:after="210" w:lineRule="auto"/>
      </w:pPr>
      <w:hyperlink r:id="rId154">
        <w:r>
          <w:rPr>
            <w:rFonts w:eastAsia="inter" w:cs="inter" w:ascii="inter" w:hAnsi="inter"/>
            <w:color w:val="#000"/>
            <w:sz w:val="18"/>
            <w:u w:val="single"/>
          </w:rPr>
          <w:t xml:space="preserve">http://enenuru.net/storage/Goff-Symbols of prehistoric Mesopotamia-Yale University Press (1963).pdf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85" w:name="fn151"/>
    <w:bookmarkEnd w:id="385"/>
    <w:p>
      <w:pPr>
        <w:numPr>
          <w:ilvl w:val="0"/>
          <w:numId w:val="31"/>
        </w:numPr>
        <w:spacing w:line="360" w:after="210" w:lineRule="auto"/>
      </w:pPr>
      <w:hyperlink r:id="rId155">
        <w:r>
          <w:rPr>
            <w:rFonts w:eastAsia="inter" w:cs="inter" w:ascii="inter" w:hAnsi="inter"/>
            <w:color w:val="#000"/>
            <w:sz w:val="18"/>
            <w:u w:val="single"/>
          </w:rPr>
          <w:t xml:space="preserve">https://www.academia.edu/23578917/Of_Omegas_and_Rhombs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86" w:name="fn152"/>
    <w:bookmarkEnd w:id="386"/>
    <w:p>
      <w:pPr>
        <w:numPr>
          <w:ilvl w:val="0"/>
          <w:numId w:val="31"/>
        </w:numPr>
        <w:spacing w:line="360" w:after="210" w:lineRule="auto"/>
      </w:pPr>
      <w:hyperlink r:id="rId156">
        <w:r>
          <w:rPr>
            <w:rFonts w:eastAsia="inter" w:cs="inter" w:ascii="inter" w:hAnsi="inter"/>
            <w:color w:val="#000"/>
            <w:sz w:val="18"/>
            <w:u w:val="single"/>
          </w:rPr>
          <w:t xml:space="preserve">https://archive.org/download/symprehist00goff/symprehist00goff.pdf</w:t>
        </w:r>
      </w:hyperlink>
      <w:r>
        <w:rPr>
          <w:rFonts w:eastAsia="inter" w:cs="inter" w:ascii="inter" w:hAnsi="inter"/>
          <w:color w:val="000000"/>
          <w:sz w:val="18"/>
        </w:rPr>
        <w:t xml:space="preserve"> </w:t>
      </w:r>
    </w:p>
    <w:bookmarkStart w:id="387" w:name="fn153"/>
    <w:bookmarkEnd w:id="387"/>
    <w:p>
      <w:pPr>
        <w:numPr>
          <w:ilvl w:val="0"/>
          <w:numId w:val="31"/>
        </w:numPr>
        <w:spacing w:line="360" w:after="210" w:lineRule="auto"/>
      </w:pPr>
      <w:hyperlink r:id="rId157">
        <w:r>
          <w:rPr>
            <w:rFonts w:eastAsia="inter" w:cs="inter" w:ascii="inter" w:hAnsi="inter"/>
            <w:color w:val="#000"/>
            <w:sz w:val="18"/>
            <w:u w:val="single"/>
          </w:rPr>
          <w:t xml:space="preserve">https://www.craftsmanspace.com/free-vectors/shields</w:t>
        </w:r>
      </w:hyperlink>
      <w:r>
        <w:rPr>
          <w:rFonts w:eastAsia="inter" w:cs="inter" w:ascii="inter" w:hAnsi="inter"/>
          <w:color w:val="000000"/>
          <w:sz w:val="18"/>
        </w:rPr>
        <w:t xml:space="preserve"> </w:t>
      </w:r>
    </w:p>
    <w:bookmarkStart w:id="388" w:name="fn154"/>
    <w:bookmarkEnd w:id="388"/>
    <w:p>
      <w:pPr>
        <w:numPr>
          <w:ilvl w:val="0"/>
          <w:numId w:val="31"/>
        </w:numPr>
        <w:spacing w:line="360" w:after="210" w:lineRule="auto"/>
      </w:pPr>
      <w:hyperlink r:id="rId158">
        <w:r>
          <w:rPr>
            <w:rFonts w:eastAsia="inter" w:cs="inter" w:ascii="inter" w:hAnsi="inter"/>
            <w:color w:val="#000"/>
            <w:sz w:val="18"/>
            <w:u w:val="single"/>
          </w:rPr>
          <w:t xml:space="preserve">https://plactud.com/2618/decoding-sacred-temple-symmetry/</w:t>
        </w:r>
      </w:hyperlink>
      <w:r>
        <w:rPr>
          <w:rFonts w:eastAsia="inter" w:cs="inter" w:ascii="inter" w:hAnsi="inter"/>
          <w:color w:val="000000"/>
          <w:sz w:val="18"/>
        </w:rPr>
        <w:t xml:space="preserve"> </w:t>
      </w:r>
    </w:p>
    <w:bookmarkStart w:id="389" w:name="fn155"/>
    <w:bookmarkEnd w:id="389"/>
    <w:p>
      <w:pPr>
        <w:numPr>
          <w:ilvl w:val="0"/>
          <w:numId w:val="31"/>
        </w:numPr>
        <w:spacing w:line="360" w:after="210" w:lineRule="auto"/>
      </w:pPr>
      <w:hyperlink r:id="rId159">
        <w:r>
          <w:rPr>
            <w:rFonts w:eastAsia="inter" w:cs="inter" w:ascii="inter" w:hAnsi="inter"/>
            <w:color w:val="#000"/>
            <w:sz w:val="18"/>
            <w:u w:val="single"/>
          </w:rPr>
          <w:t xml:space="preserve">https://www.hallofnames.org.uk/heraldry-symbols-and-what-they-mean/</w:t>
        </w:r>
      </w:hyperlink>
      <w:r>
        <w:rPr>
          <w:rFonts w:eastAsia="inter" w:cs="inter" w:ascii="inter" w:hAnsi="inter"/>
          <w:color w:val="000000"/>
          <w:sz w:val="18"/>
        </w:rPr>
        <w:t xml:space="preserve"> </w:t>
      </w:r>
    </w:p>
    <w:bookmarkStart w:id="390" w:name="fn156"/>
    <w:bookmarkEnd w:id="390"/>
    <w:p>
      <w:pPr>
        <w:numPr>
          <w:ilvl w:val="0"/>
          <w:numId w:val="31"/>
        </w:numPr>
        <w:spacing w:line="360" w:after="210" w:lineRule="auto"/>
      </w:pPr>
      <w:hyperlink r:id="rId160">
        <w:r>
          <w:rPr>
            <w:rFonts w:eastAsia="inter" w:cs="inter" w:ascii="inter" w:hAnsi="inter"/>
            <w:color w:val="#000"/>
            <w:sz w:val="18"/>
            <w:u w:val="single"/>
          </w:rPr>
          <w:t xml:space="preserve">https://www.battlemerchant.com/en/blog/shield-painting-and-heraldry-in-the-middle-ages-a-guide</w:t>
        </w:r>
      </w:hyperlink>
      <w:r>
        <w:rPr>
          <w:rFonts w:eastAsia="inter" w:cs="inter" w:ascii="inter" w:hAnsi="inter"/>
          <w:color w:val="000000"/>
          <w:sz w:val="18"/>
        </w:rPr>
        <w:t xml:space="preserve"> </w:t>
      </w:r>
    </w:p>
    <w:bookmarkStart w:id="391" w:name="fn157"/>
    <w:bookmarkEnd w:id="391"/>
    <w:p>
      <w:pPr>
        <w:numPr>
          <w:ilvl w:val="0"/>
          <w:numId w:val="31"/>
        </w:numPr>
        <w:spacing w:line="360" w:after="210" w:lineRule="auto"/>
      </w:pPr>
      <w:hyperlink r:id="rId161">
        <w:r>
          <w:rPr>
            <w:rFonts w:eastAsia="inter" w:cs="inter" w:ascii="inter" w:hAnsi="inter"/>
            <w:color w:val="#000"/>
            <w:sz w:val="18"/>
            <w:u w:val="single"/>
          </w:rPr>
          <w:t xml:space="preserve">https://library.acropolis.org/diamond-as-a-symbol-of-human-virtues/</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abstractNum>
  <w:abstractNum w:abstractNumId="31">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87897e01a347de938040721810f3ee8890fd21c5.png" TargetMode="Internal"/><Relationship Id="rId6" Type="http://schemas.openxmlformats.org/officeDocument/2006/relationships/hyperlink" Target="https://mythlok.com/category/hybrids/asian-hybrids/mesopotamian-hybrids/" TargetMode="External"/><Relationship Id="rId7" Type="http://schemas.openxmlformats.org/officeDocument/2006/relationships/hyperlink" Target="https://www.academia.edu/52381274/Composite_animals_in_Mesopotamia_as_cultural_symbols" TargetMode="External"/><Relationship Id="rId8" Type="http://schemas.openxmlformats.org/officeDocument/2006/relationships/hyperlink" Target="https://escholarship.org/content/qt3p25f7wk/qt3p25f7wk_noSplash_6013045d9cb706dfb3fc07646ae120ec.pdf" TargetMode="External"/><Relationship Id="rId9" Type="http://schemas.openxmlformats.org/officeDocument/2006/relationships/hyperlink" Target="https://www.paintingportraits.art/portraits-of-the-divine-religious-and-mythological-figures-in-art/" TargetMode="External"/><Relationship Id="rId10" Type="http://schemas.openxmlformats.org/officeDocument/2006/relationships/hyperlink" Target="https://www.readingmuseum.org.uk/blog/sacred-animals-ancient-egypt" TargetMode="External"/><Relationship Id="rId11" Type="http://schemas.openxmlformats.org/officeDocument/2006/relationships/hyperlink" Target="https://writeups.talesfromthetwolands.org/2022/03/18/understanding-composite-forms-of-egyptian-divine-beings-jordan-miller/" TargetMode="External"/><Relationship Id="rId12" Type="http://schemas.openxmlformats.org/officeDocument/2006/relationships/hyperlink" Target="https://smarthistory.org/creation-myths-and-forms-of-the-gods-in-ancient-egypt/" TargetMode="External"/><Relationship Id="rId13" Type="http://schemas.openxmlformats.org/officeDocument/2006/relationships/hyperlink" Target="https://www.ancient-origins.net/myths-legends/hermanubis-0020153" TargetMode="External"/><Relationship Id="rId14" Type="http://schemas.openxmlformats.org/officeDocument/2006/relationships/hyperlink" Target="https://en.wikipedia.org/wiki/Master_of_Animals" TargetMode="External"/><Relationship Id="rId15" Type="http://schemas.openxmlformats.org/officeDocument/2006/relationships/hyperlink" Target="https://en.wikipedia.org/wiki/Ancient_Egyptian_religion" TargetMode="External"/><Relationship Id="rId16" Type="http://schemas.openxmlformats.org/officeDocument/2006/relationships/hyperlink" Target="https://bop.unibe.ch/index.php/baf/article/view/3514/0" TargetMode="External"/><Relationship Id="rId17" Type="http://schemas.openxmlformats.org/officeDocument/2006/relationships/hyperlink" Target="https://www.egypttoursportal.com/en-us/ancient-egyptian-mathematics/" TargetMode="External"/><Relationship Id="rId18" Type="http://schemas.openxmlformats.org/officeDocument/2006/relationships/hyperlink" Target="http://compare-rosette-motifs-across-zxFYM87PTEqZ8ptjvsbd9w.md" TargetMode="External"/><Relationship Id="rId19" Type="http://schemas.openxmlformats.org/officeDocument/2006/relationships/hyperlink" Target="http://arthistoryresources.net/greek-art-archaeology-2016/geometric-pottery.html" TargetMode="External"/><Relationship Id="rId20" Type="http://schemas.openxmlformats.org/officeDocument/2006/relationships/hyperlink" Target="https://www.hellenic-art.com/hellenipedia/geometric-pottery/" TargetMode="External"/><Relationship Id="rId21" Type="http://schemas.openxmlformats.org/officeDocument/2006/relationships/hyperlink" Target="https://www.colorado.edu/classics/2018/06/14/geometric-period-pottery-and-its-decoration" TargetMode="External"/><Relationship Id="rId22" Type="http://schemas.openxmlformats.org/officeDocument/2006/relationships/hyperlink" Target="http://technical-steps-to-geometrical-Jby6ZuPBRJuvVoXrTSGBaA.md" TargetMode="External"/><Relationship Id="rId23" Type="http://schemas.openxmlformats.org/officeDocument/2006/relationships/hyperlink" Target="https://academic.oup.com/edited-volume/28003/chapter/211761596" TargetMode="External"/><Relationship Id="rId24" Type="http://schemas.openxmlformats.org/officeDocument/2006/relationships/hyperlink" Target="https://archaeology.org/news/2025/03/05/massive-network-of-ancient-canals-mapped-in-mesopotamia/" TargetMode="External"/><Relationship Id="rId25" Type="http://schemas.openxmlformats.org/officeDocument/2006/relationships/hyperlink" Target="http://chaz.org/Courses/Nile/Ancient_Hydraulic_Technology.pdf" TargetMode="External"/><Relationship Id="rId26" Type="http://schemas.openxmlformats.org/officeDocument/2006/relationships/hyperlink" Target="https://africame.factsanddetails.com/article/entry-1023.html" TargetMode="External"/><Relationship Id="rId27" Type="http://schemas.openxmlformats.org/officeDocument/2006/relationships/hyperlink" Target="https://fiveable.me/early-world-civilizations/unit-5/indus-valley-civilization-urban-planning-trade/study-guide/jWb6HD8P6Fs06LcQ" TargetMode="External"/><Relationship Id="rId28" Type="http://schemas.openxmlformats.org/officeDocument/2006/relationships/hyperlink" Target="https://www.jstage.jst.go.jp/article/jaabe/4/1/4_1_51/_pdf" TargetMode="External"/><Relationship Id="rId29" Type="http://schemas.openxmlformats.org/officeDocument/2006/relationships/hyperlink" Target="https://shapespaceassociates.com/urban-planning-of-indus-valley-civilization/" TargetMode="External"/><Relationship Id="rId30" Type="http://schemas.openxmlformats.org/officeDocument/2006/relationships/hyperlink" Target="https://www.linkedin.com/pulse/mathematics-ancient-greek-architecture-morgan-davis-obalim-3kkcf" TargetMode="External"/><Relationship Id="rId31" Type="http://schemas.openxmlformats.org/officeDocument/2006/relationships/hyperlink" Target="https://visitmath.eu/from-pyramids-to-skyscrapers-the-evolution-of-mathematics-in-architecture/" TargetMode="External"/><Relationship Id="rId32" Type="http://schemas.openxmlformats.org/officeDocument/2006/relationships/hyperlink" Target="http://combine-all-the-information-in-O5QgeP6.QRiysB9v7Ab4AQ.md" TargetMode="External"/><Relationship Id="rId33" Type="http://schemas.openxmlformats.org/officeDocument/2006/relationships/hyperlink" Target="http://i-need-a-history-of-the-relati-9KqK8BWSTe2NHs7FpPYiuA.md" TargetMode="External"/><Relationship Id="rId34" Type="http://schemas.openxmlformats.org/officeDocument/2006/relationships/hyperlink" Target="https://en.wikipedia.org/wiki/List_of_Mesopotamian_deities" TargetMode="External"/><Relationship Id="rId35" Type="http://schemas.openxmlformats.org/officeDocument/2006/relationships/hyperlink" Target="https://www.cambridge.org/core/books/gods-and-humans-in-the-ancient-near-east/composite-beings-and-sexy-godkings/1F2BB23D3B707AB32ACEEA8EA27ED971" TargetMode="External"/><Relationship Id="rId36" Type="http://schemas.openxmlformats.org/officeDocument/2006/relationships/hyperlink" Target="https://www.wef.org/publications/news/wef-news/discovering-an-ancient-hydraulic-system-rewrites-chinese-engineering-history/" TargetMode="External"/><Relationship Id="rId37" Type="http://schemas.openxmlformats.org/officeDocument/2006/relationships/hyperlink" Target="https://www.youtube.com/watch?v=SJ38ahRdbBI" TargetMode="External"/><Relationship Id="rId38" Type="http://schemas.openxmlformats.org/officeDocument/2006/relationships/hyperlink" Target="https://www.nature.com/research-intelligence/nri-topic-summaries/water-management-in-ancient-civilizations-micro-279279" TargetMode="External"/><Relationship Id="rId39" Type="http://schemas.openxmlformats.org/officeDocument/2006/relationships/hyperlink" Target="https://en.wikipedia.org/wiki/Sacred_geometry" TargetMode="External"/><Relationship Id="rId40" Type="http://schemas.openxmlformats.org/officeDocument/2006/relationships/hyperlink" Target="https://thefemalegaze.org/2015/09/27/whose-motif-is-it-representations-of-the-ancient-near-east-in-european-art/" TargetMode="External"/><Relationship Id="rId41" Type="http://schemas.openxmlformats.org/officeDocument/2006/relationships/hyperlink" Target="https://www.lobostudio.es/en/sacred-geometry-architecture/" TargetMode="External"/><Relationship Id="rId42" Type="http://schemas.openxmlformats.org/officeDocument/2006/relationships/hyperlink" Target="https://www.wedgepod.org/episode-47-louise-quillien-textiles-from-babylonia-transcript/" TargetMode="External"/><Relationship Id="rId43" Type="http://schemas.openxmlformats.org/officeDocument/2006/relationships/hyperlink" Target="https://www.wie-design.com/post/reinterpreting-sacred-architecture-exploring-transcendence-design-and-the-spirit-of-space" TargetMode="External"/><Relationship Id="rId44" Type="http://schemas.openxmlformats.org/officeDocument/2006/relationships/hyperlink" Target="https://digitalcommons.unl.edu/cgi/viewcontent.cgi?article=1007&amp;context=texroads" TargetMode="External"/><Relationship Id="rId45" Type="http://schemas.openxmlformats.org/officeDocument/2006/relationships/hyperlink" Target="https://www.namuseum.gr/en/collection/geometriki-periodos-3/" TargetMode="External"/><Relationship Id="rId46" Type="http://schemas.openxmlformats.org/officeDocument/2006/relationships/hyperlink" Target="https://en.wikipedia.org/wiki/Cylinder_seal" TargetMode="External"/><Relationship Id="rId47" Type="http://schemas.openxmlformats.org/officeDocument/2006/relationships/hyperlink" Target="https://www.metmuseum.org/art/collection/search/327242" TargetMode="External"/><Relationship Id="rId48" Type="http://schemas.openxmlformats.org/officeDocument/2006/relationships/hyperlink" Target="https://art.thewalters.org/object/42.628/" TargetMode="External"/><Relationship Id="rId49" Type="http://schemas.openxmlformats.org/officeDocument/2006/relationships/hyperlink" Target="https://tuscriaturas.home.blog/wp-content/uploads/2018/12/encyclopedia-of-gods-demons-and-symbols-of-ancient-mesopotamia-an-illustrated-dictionary-jeremy-black-anthony-green.pdf" TargetMode="External"/><Relationship Id="rId50" Type="http://schemas.openxmlformats.org/officeDocument/2006/relationships/hyperlink" Target="https://en.wikipedia.org/wiki/Babylonian_astronomy" TargetMode="External"/><Relationship Id="rId51" Type="http://schemas.openxmlformats.org/officeDocument/2006/relationships/hyperlink" Target="https://astro.bas.bg/AIJ/issues/n28/GKurtik.pdf" TargetMode="External"/><Relationship Id="rId52" Type="http://schemas.openxmlformats.org/officeDocument/2006/relationships/hyperlink" Target="https://bardmythologies.com/the-babylonian-enuma-elish/" TargetMode="External"/><Relationship Id="rId53" Type="http://schemas.openxmlformats.org/officeDocument/2006/relationships/hyperlink" Target="https://en.wikipedia.org/wiki/Ancient_Near_Eastern_cosmology" TargetMode="External"/><Relationship Id="rId54" Type="http://schemas.openxmlformats.org/officeDocument/2006/relationships/hyperlink" Target="http://www.crivoice.org/enumaelish.html" TargetMode="External"/><Relationship Id="rId55" Type="http://schemas.openxmlformats.org/officeDocument/2006/relationships/hyperlink" Target="https://www.mythfolks.com/babylonian-mythology/enuma-elish" TargetMode="External"/><Relationship Id="rId56" Type="http://schemas.openxmlformats.org/officeDocument/2006/relationships/hyperlink" Target="https://www.anne-marie.eu/en/kundalini-symbols-morning-star/" TargetMode="External"/><Relationship Id="rId57" Type="http://schemas.openxmlformats.org/officeDocument/2006/relationships/hyperlink" Target="https://symbolreader.net/2013/05/07/the-eight-point-star-to-my-wandering-bark/" TargetMode="External"/><Relationship Id="rId58" Type="http://schemas.openxmlformats.org/officeDocument/2006/relationships/hyperlink" Target="https://pagan-workshop.com/blogs/blog/who-is-the-8-point-star-goddess" TargetMode="External"/><Relationship Id="rId59" Type="http://schemas.openxmlformats.org/officeDocument/2006/relationships/hyperlink" Target="https://www.occult.live/index.php?title=Ishtar&amp;mobileaction=toggle_view_desktop" TargetMode="External"/><Relationship Id="rId60" Type="http://schemas.openxmlformats.org/officeDocument/2006/relationships/hyperlink" Target="https://www.facebook.com/ceremonialweaving/posts/design-history-this-eight-pointed-star-was-widely-used-in-ancient-timesin-babylo/1180422400317740/" TargetMode="External"/><Relationship Id="rId61" Type="http://schemas.openxmlformats.org/officeDocument/2006/relationships/hyperlink" Target="https://mathshistory.st-andrews.ac.uk/HistTopics/Babylonian_numerals/" TargetMode="External"/><Relationship Id="rId62" Type="http://schemas.openxmlformats.org/officeDocument/2006/relationships/hyperlink" Target="https://dulakaba.tripod.com/id70.html" TargetMode="External"/><Relationship Id="rId63" Type="http://schemas.openxmlformats.org/officeDocument/2006/relationships/hyperlink" Target="https://covenantofbabylon.wordpress.com/tag/numerology/" TargetMode="External"/><Relationship Id="rId64" Type="http://schemas.openxmlformats.org/officeDocument/2006/relationships/hyperlink" Target="https://www.facebook.com/groups/583113712191538/posts/1720871475082417/" TargetMode="External"/><Relationship Id="rId65" Type="http://schemas.openxmlformats.org/officeDocument/2006/relationships/hyperlink" Target="https://www.britannica.com/topic/number-symbolism/Pythagoreanism" TargetMode="External"/><Relationship Id="rId66" Type="http://schemas.openxmlformats.org/officeDocument/2006/relationships/hyperlink" Target="https://notesfromthedigitalunderground.net/on-ancient-numerology-and-astronomy/" TargetMode="External"/><Relationship Id="rId67" Type="http://schemas.openxmlformats.org/officeDocument/2006/relationships/hyperlink" Target="https://archaeology.org/news/2025/03/05/massive-network-of-ancient-canals-mapped-in-mesopotamia/" TargetMode="External"/><Relationship Id="rId68" Type="http://schemas.openxmlformats.org/officeDocument/2006/relationships/hyperlink" Target="https://africame.factsanddetails.com/article/entry-1023.html" TargetMode="External"/><Relationship Id="rId69" Type="http://schemas.openxmlformats.org/officeDocument/2006/relationships/hyperlink" Target="https://www.ancient-origins.net/history-famous-people/sacred-geometry-0013969" TargetMode="External"/><Relationship Id="rId70" Type="http://schemas.openxmlformats.org/officeDocument/2006/relationships/hyperlink" Target="https://www.reddit.com/r/Genshin_Lore/comments/19aeaz4/the_meaning_of_the_8pointed_star/" TargetMode="External"/><Relationship Id="rId71" Type="http://schemas.openxmlformats.org/officeDocument/2006/relationships/hyperlink" Target="https://study.com/academy/lesson/mesopotamian-mythology-gods-creatures-stories.html" TargetMode="External"/><Relationship Id="rId72" Type="http://schemas.openxmlformats.org/officeDocument/2006/relationships/hyperlink" Target="https://www.britannica.com/art/Mesopotamian-art" TargetMode="External"/><Relationship Id="rId73" Type="http://schemas.openxmlformats.org/officeDocument/2006/relationships/hyperlink" Target="https://archeyes.com/ziggurat-temples-architecture-mesopotamia/" TargetMode="External"/><Relationship Id="rId74" Type="http://schemas.openxmlformats.org/officeDocument/2006/relationships/hyperlink" Target="https://www.academia.edu/39251865/Ziggurats_An_Astro_Archaeological_Analysis_revised_24_Jan_2021_" TargetMode="External"/><Relationship Id="rId75" Type="http://schemas.openxmlformats.org/officeDocument/2006/relationships/hyperlink" Target="https://core.ac.uk/download/pdf/52940292.pdf" TargetMode="External"/><Relationship Id="rId76" Type="http://schemas.openxmlformats.org/officeDocument/2006/relationships/hyperlink" Target="https://smarthistory.org/ziggurat-of-ur/" TargetMode="External"/><Relationship Id="rId77" Type="http://schemas.openxmlformats.org/officeDocument/2006/relationships/hyperlink" Target="https://en.wikipedia.org/wiki/Ziggurat" TargetMode="External"/><Relationship Id="rId78" Type="http://schemas.openxmlformats.org/officeDocument/2006/relationships/hyperlink" Target="https://www.khanacademy.org/humanities/ancient-art-civilizations/ancient-near-east1/x7e914f5b:neo-sumerian-ur-iii/a/ziggurat-of-ur" TargetMode="External"/><Relationship Id="rId79" Type="http://schemas.openxmlformats.org/officeDocument/2006/relationships/hyperlink" Target="https://www.slideshare.net/slideshow/mesopotamian-architecture-ziggurat-pdf/270572128" TargetMode="External"/><Relationship Id="rId80" Type="http://schemas.openxmlformats.org/officeDocument/2006/relationships/hyperlink" Target="https://www.facebook.com/groups/archeologyandcivilizations/posts/4530156020411220/" TargetMode="External"/><Relationship Id="rId81" Type="http://schemas.openxmlformats.org/officeDocument/2006/relationships/hyperlink" Target="https://www.academia.edu/38900455/A_comparison_of_the_polychrome_geometric_patterns_painted_on_Egyptian_palace_fa%C3%A7ades_false_doors_with_potential_counterparts_in_Mesopotamia" TargetMode="External"/><Relationship Id="rId82" Type="http://schemas.openxmlformats.org/officeDocument/2006/relationships/hyperlink" Target="https://www.britishmuseum.org/collection/object/W_1979-1218-77" TargetMode="External"/><Relationship Id="rId83" Type="http://schemas.openxmlformats.org/officeDocument/2006/relationships/hyperlink" Target="https://madainproject.com/ishtar_gate_(babylon)" TargetMode="External"/><Relationship Id="rId84" Type="http://schemas.openxmlformats.org/officeDocument/2006/relationships/hyperlink" Target="https://giacobbegiusti9.wordpress.com/tag/compositional-studies-of-the-glazed-brick-from-the-ishtar-gate-at-babylon/" TargetMode="External"/><Relationship Id="rId85" Type="http://schemas.openxmlformats.org/officeDocument/2006/relationships/hyperlink" Target="https://www.donsmaps.com/ishtar.html" TargetMode="External"/><Relationship Id="rId86" Type="http://schemas.openxmlformats.org/officeDocument/2006/relationships/hyperlink" Target="https://en.wikipedia.org/wiki/Ishtar_Gate" TargetMode="External"/><Relationship Id="rId87" Type="http://schemas.openxmlformats.org/officeDocument/2006/relationships/hyperlink" Target="https://publicdomainreview.org/essay/modern-babylon-ziggurat-skyscrapers-and-hugh-ferriss-retrofuturism/" TargetMode="External"/><Relationship Id="rId88" Type="http://schemas.openxmlformats.org/officeDocument/2006/relationships/hyperlink" Target="https://popular-archaeology.com/article/skyscrapers-of-babel-how-ancient-mesopotamia-shaped-the-modern-city/" TargetMode="External"/><Relationship Id="rId89" Type="http://schemas.openxmlformats.org/officeDocument/2006/relationships/hyperlink" Target="https://www.iranicaonline.org/articles/ziggurat/" TargetMode="External"/><Relationship Id="rId90" Type="http://schemas.openxmlformats.org/officeDocument/2006/relationships/hyperlink" Target="https://www.getty.edu/publications/resources/virtuallibrary/9780892363353.pdf" TargetMode="External"/><Relationship Id="rId91" Type="http://schemas.openxmlformats.org/officeDocument/2006/relationships/hyperlink" Target="https://www.facebook.com/groups/archeologyandcivilizations/posts/23954579334208932/" TargetMode="External"/><Relationship Id="rId92" Type="http://schemas.openxmlformats.org/officeDocument/2006/relationships/hyperlink" Target="https://core.ac.uk/download/pdf/52940292.pdf" TargetMode="External"/><Relationship Id="rId93" Type="http://schemas.openxmlformats.org/officeDocument/2006/relationships/hyperlink" Target="https://en.wikipedia.org/wiki/Architecture_of_Mesopotamia" TargetMode="External"/><Relationship Id="rId94" Type="http://schemas.openxmlformats.org/officeDocument/2006/relationships/hyperlink" Target="https://www.facebook.com/groups/1331722814218106/posts/1616211715769213/" TargetMode="External"/><Relationship Id="rId95" Type="http://schemas.openxmlformats.org/officeDocument/2006/relationships/hyperlink" Target="https://angelicscalliwags.com/cone-mosaics-urek/" TargetMode="External"/><Relationship Id="rId96" Type="http://schemas.openxmlformats.org/officeDocument/2006/relationships/hyperlink" Target="https://d-core.ua/en/mosaic/" TargetMode="External"/><Relationship Id="rId97" Type="http://schemas.openxmlformats.org/officeDocument/2006/relationships/hyperlink" Target="https://www.grossotile.com/the-origins-of-mosaic-art-the-birth-of-cone-mosaics/" TargetMode="External"/><Relationship Id="rId98" Type="http://schemas.openxmlformats.org/officeDocument/2006/relationships/hyperlink" Target="https://mosaic-blues.com/blog/2021/04/01/cone-mosaics/" TargetMode="External"/><Relationship Id="rId99" Type="http://schemas.openxmlformats.org/officeDocument/2006/relationships/hyperlink" Target="https://www.britannica.com/art/Mesopotamian-art/Sumerian-period" TargetMode="External"/><Relationship Id="rId100" Type="http://schemas.openxmlformats.org/officeDocument/2006/relationships/hyperlink" Target="https://isac.uchicago.edu/sites/default/files/uploads/shared/docs/03-04_Hamoukar.pdf" TargetMode="External"/><Relationship Id="rId101" Type="http://schemas.openxmlformats.org/officeDocument/2006/relationships/hyperlink" Target="https://www.academia.edu/38900455/A_comparison_of_the_polychrome_geometric_patterns_painted_on_Egyptian_palace_fa%C3%A7ades_false_doors_with_potential_counterparts_in_Mesopotamia" TargetMode="External"/><Relationship Id="rId102" Type="http://schemas.openxmlformats.org/officeDocument/2006/relationships/hyperlink" Target="https://www.jstor.org/stable/497492" TargetMode="External"/><Relationship Id="rId103" Type="http://schemas.openxmlformats.org/officeDocument/2006/relationships/hyperlink" Target="https://madainproject.com/ishtar_gate_(babylon)" TargetMode="External"/><Relationship Id="rId104" Type="http://schemas.openxmlformats.org/officeDocument/2006/relationships/hyperlink" Target="https://smarthistory.org/neo-babylonian/" TargetMode="External"/><Relationship Id="rId105" Type="http://schemas.openxmlformats.org/officeDocument/2006/relationships/hyperlink" Target="https://en.wikipedia.org/wiki/Ishtar_Gate" TargetMode="External"/><Relationship Id="rId106" Type="http://schemas.openxmlformats.org/officeDocument/2006/relationships/hyperlink" Target="https://en.wikipedia.org/wiki/Rosette_(design)" TargetMode="External"/><Relationship Id="rId107" Type="http://schemas.openxmlformats.org/officeDocument/2006/relationships/hyperlink" Target="https://www.facebook.com/ICSP.beauty/posts/behold-the-lotus-rosettes-remnants-of-the-ishtar-gate-once-standing-tall-in-baby/1213188954166454/" TargetMode="External"/><Relationship Id="rId108" Type="http://schemas.openxmlformats.org/officeDocument/2006/relationships/hyperlink" Target="https://en.wikipedia.org/wiki/Art_of_Mesopotamia" TargetMode="External"/><Relationship Id="rId109" Type="http://schemas.openxmlformats.org/officeDocument/2006/relationships/hyperlink" Target="https://archeyes.com/ziggurat-temples-architecture-mesopotamia/" TargetMode="External"/><Relationship Id="rId110" Type="http://schemas.openxmlformats.org/officeDocument/2006/relationships/hyperlink" Target="https://en.wikipedia.org/wiki/Ziggurat" TargetMode="External"/><Relationship Id="rId111" Type="http://schemas.openxmlformats.org/officeDocument/2006/relationships/hyperlink" Target="https://www.reddit.com/r/Mesopotamia/comments/hbqn42/sumerian_cone_mosaic_facade_from_the_inner/" TargetMode="External"/><Relationship Id="rId112" Type="http://schemas.openxmlformats.org/officeDocument/2006/relationships/hyperlink" Target="https://www.chenarch.com/images/arch-texts/2019-01-14-ingersoll-34-47.pdf" TargetMode="External"/><Relationship Id="rId113" Type="http://schemas.openxmlformats.org/officeDocument/2006/relationships/hyperlink" Target="https://www.etsy.com/market/ishtar_gate" TargetMode="External"/><Relationship Id="rId114" Type="http://schemas.openxmlformats.org/officeDocument/2006/relationships/hyperlink" Target="https://www.facebook.com/groups/churchcrawling/posts/252223388632863/" TargetMode="External"/><Relationship Id="rId115" Type="http://schemas.openxmlformats.org/officeDocument/2006/relationships/hyperlink" Target="https://en.wikipedia.org/wiki/Lozenge_(shape)" TargetMode="External"/><Relationship Id="rId116" Type="http://schemas.openxmlformats.org/officeDocument/2006/relationships/hyperlink" Target="https://www.symbols.com/symbol/lozenge" TargetMode="External"/><Relationship Id="rId117" Type="http://schemas.openxmlformats.org/officeDocument/2006/relationships/hyperlink" Target="https://tao-talk.com/2019/04/13/a2z-april-2019-l-lozenge/" TargetMode="External"/><Relationship Id="rId118" Type="http://schemas.openxmlformats.org/officeDocument/2006/relationships/hyperlink" Target="https://www.academia.edu/23578917/Of_Omegas_and_Rhombs" TargetMode="External"/><Relationship Id="rId119" Type="http://schemas.openxmlformats.org/officeDocument/2006/relationships/hyperlink" Target="https://you.stonybrook.edu/undergraduatehistoryjournal/2023/12/03/protection-devotion-and-destruction-the-symbolism-of-eyes-in-ancient-mesopotamian-art/" TargetMode="External"/><Relationship Id="rId120" Type="http://schemas.openxmlformats.org/officeDocument/2006/relationships/hyperlink" Target="http://enenuru.net/storage/Goff-Symbols%20of%20prehistoric%20Mesopotamia-Yale%20University%20Press%20(1963).pdf" TargetMode="External"/><Relationship Id="rId121" Type="http://schemas.openxmlformats.org/officeDocument/2006/relationships/hyperlink" Target="https://archive.org/download/symprehist00goff/symprehist00goff.pdf" TargetMode="External"/><Relationship Id="rId122" Type="http://schemas.openxmlformats.org/officeDocument/2006/relationships/hyperlink" Target="https://www.eternalsymbols.com/a-global-and-an-eternal-symbol/" TargetMode="External"/><Relationship Id="rId123" Type="http://schemas.openxmlformats.org/officeDocument/2006/relationships/hyperlink" Target="https://www.thegns.org/blog/secrets-in-the-stones-2" TargetMode="External"/><Relationship Id="rId124" Type="http://schemas.openxmlformats.org/officeDocument/2006/relationships/hyperlink" Target="https://angelicscalliwags.com/cone-mosaics-urek/" TargetMode="External"/><Relationship Id="rId125" Type="http://schemas.openxmlformats.org/officeDocument/2006/relationships/hyperlink" Target="https://www.grossotile.com/the-origins-of-mosaic-art-the-birth-of-cone-mosaics/" TargetMode="External"/><Relationship Id="rId126" Type="http://schemas.openxmlformats.org/officeDocument/2006/relationships/hyperlink" Target="https://en.wikipedia.org/wiki/Architecture_of_Mesopotamia" TargetMode="External"/><Relationship Id="rId127" Type="http://schemas.openxmlformats.org/officeDocument/2006/relationships/hyperlink" Target="https://www.britannica.com/art/Mesopotamian-art/Sumerian-period" TargetMode="External"/><Relationship Id="rId128" Type="http://schemas.openxmlformats.org/officeDocument/2006/relationships/hyperlink" Target="https://www.facebook.com/groups/2399377773554039/posts/2450999598391856/" TargetMode="External"/><Relationship Id="rId129" Type="http://schemas.openxmlformats.org/officeDocument/2006/relationships/hyperlink" Target="https://tuscriaturas.home.blog/wp-content/uploads/2018/12/encyclopedia-of-gods-demons-and-symbols-of-ancient-mesopotamia-an-illustrated-dictionary-jeremy-black-anthony-green.pdf" TargetMode="External"/><Relationship Id="rId130" Type="http://schemas.openxmlformats.org/officeDocument/2006/relationships/hyperlink" Target="https://enenuru.proboards.com/thread/193/exploring-archaic-standards-emblems-symbols?page=3" TargetMode="External"/><Relationship Id="rId131" Type="http://schemas.openxmlformats.org/officeDocument/2006/relationships/hyperlink" Target="https://irisharchaeology.org/rock-art/" TargetMode="External"/><Relationship Id="rId132" Type="http://schemas.openxmlformats.org/officeDocument/2006/relationships/hyperlink" Target="https://www.instagram.com/reel/DLHjDKVI4s2/?hl=en" TargetMode="External"/><Relationship Id="rId133" Type="http://schemas.openxmlformats.org/officeDocument/2006/relationships/hyperlink" Target="https://www.facebook.com/groups/mythicalirelandgroup/posts/1046559222861757/" TargetMode="External"/><Relationship Id="rId134" Type="http://schemas.openxmlformats.org/officeDocument/2006/relationships/hyperlink" Target="http://tallgrassandthunder.info/geometry/" TargetMode="External"/><Relationship Id="rId135" Type="http://schemas.openxmlformats.org/officeDocument/2006/relationships/hyperlink" Target="https://www.colorado.edu/classics/2018/06/14/geometric-period-pottery-and-its-decoration" TargetMode="External"/><Relationship Id="rId136" Type="http://schemas.openxmlformats.org/officeDocument/2006/relationships/hyperlink" Target="https://www.californiaprehistory.com/documents/MoreonLozengeStones.pdf" TargetMode="External"/><Relationship Id="rId137" Type="http://schemas.openxmlformats.org/officeDocument/2006/relationships/hyperlink" Target="https://www.lemon8-app.com/@giimmii_official/7516171401653649966?region=us" TargetMode="External"/><Relationship Id="rId138" Type="http://schemas.openxmlformats.org/officeDocument/2006/relationships/hyperlink" Target="https://theancienthome.com/blogs/blog-and-news/roman-mosaic-patterns" TargetMode="External"/><Relationship Id="rId139" Type="http://schemas.openxmlformats.org/officeDocument/2006/relationships/hyperlink" Target="https://en.wikipedia.org/wiki/Lozenge_(heraldry)" TargetMode="External"/><Relationship Id="rId140" Type="http://schemas.openxmlformats.org/officeDocument/2006/relationships/hyperlink" Target="https://en.wikipedia.org/wiki/Lozenge_(shape)" TargetMode="External"/><Relationship Id="rId141" Type="http://schemas.openxmlformats.org/officeDocument/2006/relationships/hyperlink" Target="https://www.symbols.com/symbol/lozenge" TargetMode="External"/><Relationship Id="rId142" Type="http://schemas.openxmlformats.org/officeDocument/2006/relationships/hyperlink" Target="https://www.academia.edu/38900455/A_comparison_of_the_polychrome_geometric_patterns_painted_on_Egyptian_palace_fa%C3%A7ades_false_doors_with_potential_counterparts_in_Mesopotamia" TargetMode="External"/><Relationship Id="rId143" Type="http://schemas.openxmlformats.org/officeDocument/2006/relationships/hyperlink" Target="https://angelicscalliwags.com/cone-mosaics-urek/" TargetMode="External"/><Relationship Id="rId144" Type="http://schemas.openxmlformats.org/officeDocument/2006/relationships/hyperlink" Target="https://www.grossotile.com/the-origins-of-mosaic-art-the-birth-of-cone-mosaics/" TargetMode="External"/><Relationship Id="rId145" Type="http://schemas.openxmlformats.org/officeDocument/2006/relationships/hyperlink" Target="https://en.wikipedia.org/wiki/Architecture_of_Mesopotamia" TargetMode="External"/><Relationship Id="rId146" Type="http://schemas.openxmlformats.org/officeDocument/2006/relationships/hyperlink" Target="https://www.britannica.com/art/Mesopotamian-art/Sumerian-period" TargetMode="External"/><Relationship Id="rId147" Type="http://schemas.openxmlformats.org/officeDocument/2006/relationships/hyperlink" Target="https://core.ac.uk/download/pdf/52940292.pdf" TargetMode="External"/><Relationship Id="rId148" Type="http://schemas.openxmlformats.org/officeDocument/2006/relationships/hyperlink" Target="https://www.jstage.jst.go.jp/article/orient/59/0/59_5/_pdf" TargetMode="External"/><Relationship Id="rId149" Type="http://schemas.openxmlformats.org/officeDocument/2006/relationships/hyperlink" Target="https://www.familytreesandcrests.com/heraldry-lozenge" TargetMode="External"/><Relationship Id="rId150" Type="http://schemas.openxmlformats.org/officeDocument/2006/relationships/hyperlink" Target="https://en.wikipedia.org/wiki/Escutcheon_(heraldry)" TargetMode="External"/><Relationship Id="rId151" Type="http://schemas.openxmlformats.org/officeDocument/2006/relationships/hyperlink" Target="https://celticstudio.shop/blogs/article/coat-of-arms-symbols" TargetMode="External"/><Relationship Id="rId152" Type="http://schemas.openxmlformats.org/officeDocument/2006/relationships/hyperlink" Target="https://www.thegns.org/blog/secrets-in-the-stones-2" TargetMode="External"/><Relationship Id="rId153" Type="http://schemas.openxmlformats.org/officeDocument/2006/relationships/hyperlink" Target="https://you.stonybrook.edu/undergraduatehistoryjournal/2023/12/03/protection-devotion-and-destruction-the-symbolism-of-eyes-in-ancient-mesopotamian-art/" TargetMode="External"/><Relationship Id="rId154" Type="http://schemas.openxmlformats.org/officeDocument/2006/relationships/hyperlink" Target="http://enenuru.net/storage/Goff-Symbols%20of%20prehistoric%20Mesopotamia-Yale%20University%20Press%20(1963).pdf" TargetMode="External"/><Relationship Id="rId155" Type="http://schemas.openxmlformats.org/officeDocument/2006/relationships/hyperlink" Target="https://www.academia.edu/23578917/Of_Omegas_and_Rhombs" TargetMode="External"/><Relationship Id="rId156" Type="http://schemas.openxmlformats.org/officeDocument/2006/relationships/hyperlink" Target="https://archive.org/download/symprehist00goff/symprehist00goff.pdf" TargetMode="External"/><Relationship Id="rId157" Type="http://schemas.openxmlformats.org/officeDocument/2006/relationships/hyperlink" Target="https://www.craftsmanspace.com/free-vectors/shields" TargetMode="External"/><Relationship Id="rId158" Type="http://schemas.openxmlformats.org/officeDocument/2006/relationships/hyperlink" Target="https://plactud.com/2618/decoding-sacred-temple-symmetry/" TargetMode="External"/><Relationship Id="rId159" Type="http://schemas.openxmlformats.org/officeDocument/2006/relationships/hyperlink" Target="https://www.hallofnames.org.uk/heraldry-symbols-and-what-they-mean/" TargetMode="External"/><Relationship Id="rId160" Type="http://schemas.openxmlformats.org/officeDocument/2006/relationships/hyperlink" Target="https://www.battlemerchant.com/en/blog/shield-painting-and-heraldry-in-the-middle-ages-a-guide" TargetMode="External"/><Relationship Id="rId161" Type="http://schemas.openxmlformats.org/officeDocument/2006/relationships/hyperlink" Target="https://library.acropolis.org/diamond-as-a-symbol-of-human-virtue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2025-11-28T04:24:14.212Z</dcterms:created>
  <dcterms:modified xsi:type="dcterms:W3CDTF">2025-11-28T04:24:14.212Z</dcterms:modified>
</cp:coreProperties>
</file>