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LifePRO → QLAdmin Conversion</w:t>
      </w:r>
    </w:p>
    <w:p>
      <w:pPr>
        <w:jc w:val="center"/>
      </w:pPr>
      <w:r>
        <w:rPr>
          <w:b/>
          <w:sz w:val="28"/>
        </w:rPr>
        <w:t>Project Status Report</w:t>
      </w:r>
    </w:p>
    <w:p>
      <w:pPr>
        <w:jc w:val="center"/>
      </w:pPr>
      <w:r>
        <w:rPr>
          <w:i/>
        </w:rPr>
        <w:t>As of: June 30, 2026</w:t>
        <w:br/>
      </w:r>
      <w:r>
        <w:rPr>
          <w:i/>
        </w:rPr>
        <w:t>Current Engine: v57.40 (Issue #32 — QuikLoan)</w:t>
        <w:br/>
      </w:r>
      <w:r>
        <w:rPr>
          <w:i/>
        </w:rPr>
        <w:t>Project: Loyal American Life — LifePRO to QLAdmin Data Conversion Platform</w:t>
      </w:r>
    </w:p>
    <w:p/>
    <w:p>
      <w:pPr>
        <w:pStyle w:val="Heading1"/>
      </w:pPr>
      <w:r>
        <w:t>Executive Summary</w:t>
      </w:r>
    </w:p>
    <w:p>
      <w:r>
        <w:t>The LifePRO → QLAdmin conversion platform has reached a strong maturity milestone. Core policy conversion, claims processing, product catalog authority, memo consolidation, and policy loan mapping are implemented and validated. Recent releases (v57.35 through v57.40) deliver incremental, surgical improvements with full regression protection.</w:t>
      </w:r>
    </w:p>
    <w:p>
      <w:r>
        <w:t>Including the reinsurance module (~8% of remaining scope), converter coding is approximately 88–92% complete. Production readiness continues to advance as client UAT cycles confirm each release.</w:t>
      </w:r>
    </w:p>
    <w:p>
      <w:pPr>
        <w:pStyle w:val="Heading1"/>
      </w:pPr>
      <w:r>
        <w:t>Percent Complete — Coding View</w:t>
      </w:r>
    </w:p>
    <w:tbl>
      <w:tblPr>
        <w:tblStyle w:val="TableGrid"/>
        <w:tblW w:type="auto" w:w="0"/>
        <w:tblLook w:firstColumn="1" w:firstRow="1" w:lastColumn="0" w:lastRow="0" w:noHBand="0" w:noVBand="1" w:val="04A0"/>
      </w:tblPr>
      <w:tblGrid>
        <w:gridCol w:w="2880"/>
        <w:gridCol w:w="2880"/>
        <w:gridCol w:w="2880"/>
      </w:tblGrid>
      <w:tr>
        <w:tc>
          <w:tcPr>
            <w:tcW w:type="dxa" w:w="2880"/>
            <w:shd w:fill="E8F0FE"/>
          </w:tcPr>
          <w:p>
            <w:r>
              <w:rPr>
                <w:b/>
              </w:rPr>
              <w:t>Workstream</w:t>
            </w:r>
          </w:p>
        </w:tc>
        <w:tc>
          <w:tcPr>
            <w:tcW w:type="dxa" w:w="2880"/>
            <w:shd w:fill="E8F0FE"/>
          </w:tcPr>
          <w:p>
            <w:r>
              <w:rPr>
                <w:b/>
              </w:rPr>
              <w:t>Coding Status</w:t>
            </w:r>
          </w:p>
        </w:tc>
        <w:tc>
          <w:tcPr>
            <w:tcW w:type="dxa" w:w="2880"/>
            <w:shd w:fill="E8F0FE"/>
          </w:tcPr>
          <w:p>
            <w:r>
              <w:rPr>
                <w:b/>
              </w:rPr>
              <w:t>Est. % of Total Scope</w:t>
            </w:r>
          </w:p>
        </w:tc>
      </w:tr>
      <w:tr>
        <w:tc>
          <w:tcPr>
            <w:tcW w:type="dxa" w:w="2880"/>
          </w:tcPr>
          <w:p>
            <w:r>
              <w:t>Core policy tables (quikmstr, quikridr, quikclnt, quikclid, quikprmh, quikbenh, quikplan)</w:t>
            </w:r>
          </w:p>
        </w:tc>
        <w:tc>
          <w:tcPr>
            <w:tcW w:type="dxa" w:w="2880"/>
          </w:tcPr>
          <w:p>
            <w:r>
              <w:t>Complete</w:t>
            </w:r>
          </w:p>
        </w:tc>
        <w:tc>
          <w:tcPr>
            <w:tcW w:type="dxa" w:w="2880"/>
          </w:tcPr>
          <w:p>
            <w:r>
              <w:t>~45%</w:t>
            </w:r>
          </w:p>
        </w:tc>
      </w:tr>
      <w:tr>
        <w:tc>
          <w:tcPr>
            <w:tcW w:type="dxa" w:w="2880"/>
          </w:tcPr>
          <w:p>
            <w:r>
              <w:t>Cross-cutting fixes (#25, #26, #27, #28)</w:t>
            </w:r>
          </w:p>
        </w:tc>
        <w:tc>
          <w:tcPr>
            <w:tcW w:type="dxa" w:w="2880"/>
          </w:tcPr>
          <w:p>
            <w:r>
              <w:t>Complete / Released</w:t>
            </w:r>
          </w:p>
        </w:tc>
        <w:tc>
          <w:tcPr>
            <w:tcW w:type="dxa" w:w="2880"/>
          </w:tcPr>
          <w:p>
            <w:r>
              <w:t>~8%</w:t>
            </w:r>
          </w:p>
        </w:tc>
      </w:tr>
      <w:tr>
        <w:tc>
          <w:tcPr>
            <w:tcW w:type="dxa" w:w="2880"/>
          </w:tcPr>
          <w:p>
            <w:r>
              <w:t>quikmemo (#21M-FU)</w:t>
            </w:r>
          </w:p>
        </w:tc>
        <w:tc>
          <w:tcPr>
            <w:tcW w:type="dxa" w:w="2880"/>
          </w:tcPr>
          <w:p>
            <w:r>
              <w:t>Complete — UAT in progress</w:t>
            </w:r>
          </w:p>
        </w:tc>
        <w:tc>
          <w:tcPr>
            <w:tcW w:type="dxa" w:w="2880"/>
          </w:tcPr>
          <w:p>
            <w:r>
              <w:t>~5%</w:t>
            </w:r>
          </w:p>
        </w:tc>
      </w:tr>
      <w:tr>
        <w:tc>
          <w:tcPr>
            <w:tcW w:type="dxa" w:w="2880"/>
          </w:tcPr>
          <w:p>
            <w:r>
              <w:t>quikdvdp / #21D Track A+B1</w:t>
            </w:r>
          </w:p>
        </w:tc>
        <w:tc>
          <w:tcPr>
            <w:tcW w:type="dxa" w:w="2880"/>
          </w:tcPr>
          <w:p>
            <w:r>
              <w:t>Complete — UAT in progress</w:t>
            </w:r>
          </w:p>
        </w:tc>
        <w:tc>
          <w:tcPr>
            <w:tcW w:type="dxa" w:w="2880"/>
          </w:tcPr>
          <w:p>
            <w:r>
              <w:t>~5%</w:t>
            </w:r>
          </w:p>
        </w:tc>
      </w:tr>
      <w:tr>
        <w:tc>
          <w:tcPr>
            <w:tcW w:type="dxa" w:w="2880"/>
          </w:tcPr>
          <w:p>
            <w:r>
              <w:t>Claims pipeline (Items 14–19)</w:t>
            </w:r>
          </w:p>
        </w:tc>
        <w:tc>
          <w:tcPr>
            <w:tcW w:type="dxa" w:w="2880"/>
          </w:tcPr>
          <w:p>
            <w:r>
              <w:t>Complete for UAT populations</w:t>
            </w:r>
          </w:p>
        </w:tc>
        <w:tc>
          <w:tcPr>
            <w:tcW w:type="dxa" w:w="2880"/>
          </w:tcPr>
          <w:p>
            <w:r>
              <w:t>~10%</w:t>
            </w:r>
          </w:p>
        </w:tc>
      </w:tr>
      <w:tr>
        <w:tc>
          <w:tcPr>
            <w:tcW w:type="dxa" w:w="2880"/>
          </w:tcPr>
          <w:p>
            <w:r>
              <w:t>Standard rate tables</w:t>
            </w:r>
          </w:p>
        </w:tc>
        <w:tc>
          <w:tcPr>
            <w:tcW w:type="dxa" w:w="2880"/>
          </w:tcPr>
          <w:p>
            <w:r>
              <w:t>Complete</w:t>
            </w:r>
          </w:p>
        </w:tc>
        <w:tc>
          <w:tcPr>
            <w:tcW w:type="dxa" w:w="2880"/>
          </w:tcPr>
          <w:p>
            <w:r>
              <w:t>~8%</w:t>
            </w:r>
          </w:p>
        </w:tc>
      </w:tr>
      <w:tr>
        <w:tc>
          <w:tcPr>
            <w:tcW w:type="dxa" w:w="2880"/>
          </w:tcPr>
          <w:p>
            <w:r>
              <w:t>QuikLoan (#32)</w:t>
            </w:r>
          </w:p>
        </w:tc>
        <w:tc>
          <w:tcPr>
            <w:tcW w:type="dxa" w:w="2880"/>
          </w:tcPr>
          <w:p>
            <w:r>
              <w:t>Complete v57.40 — controlled production emit</w:t>
            </w:r>
          </w:p>
        </w:tc>
        <w:tc>
          <w:tcPr>
            <w:tcW w:type="dxa" w:w="2880"/>
          </w:tcPr>
          <w:p>
            <w:r>
              <w:t>~4%</w:t>
            </w:r>
          </w:p>
        </w:tc>
      </w:tr>
      <w:tr>
        <w:tc>
          <w:tcPr>
            <w:tcW w:type="dxa" w:w="2880"/>
          </w:tcPr>
          <w:p>
            <w:r>
              <w:t>ISWL UL rate loaders (QUIKCVS/GPS/COI/GCOI)</w:t>
            </w:r>
          </w:p>
        </w:tc>
        <w:tc>
          <w:tcPr>
            <w:tcW w:type="dxa" w:w="2880"/>
          </w:tcPr>
          <w:p>
            <w:r>
              <w:t>Planning complete — ready for phased development</w:t>
            </w:r>
          </w:p>
        </w:tc>
        <w:tc>
          <w:tcPr>
            <w:tcW w:type="dxa" w:w="2880"/>
          </w:tcPr>
          <w:p>
            <w:r>
              <w:t>~5–7%</w:t>
            </w:r>
          </w:p>
        </w:tc>
      </w:tr>
      <w:tr>
        <w:tc>
          <w:tcPr>
            <w:tcW w:type="dxa" w:w="2880"/>
          </w:tcPr>
          <w:p>
            <w:r>
              <w:t>Agent / commission domain</w:t>
            </w:r>
          </w:p>
        </w:tc>
        <w:tc>
          <w:tcPr>
            <w:tcW w:type="dxa" w:w="2880"/>
          </w:tcPr>
          <w:p>
            <w:r>
              <w:t>Schema ready — awaiting client requirements</w:t>
            </w:r>
          </w:p>
        </w:tc>
        <w:tc>
          <w:tcPr>
            <w:tcW w:type="dxa" w:w="2880"/>
          </w:tcPr>
          <w:p>
            <w:r>
              <w:t>~3–5%</w:t>
            </w:r>
          </w:p>
        </w:tc>
      </w:tr>
      <w:tr>
        <w:tc>
          <w:tcPr>
            <w:tcW w:type="dxa" w:w="2880"/>
          </w:tcPr>
          <w:p>
            <w:r>
              <w:t>Reinsurance (quikrein, quikrmst, quikrcoa)</w:t>
            </w:r>
          </w:p>
        </w:tc>
        <w:tc>
          <w:tcPr>
            <w:tcW w:type="dxa" w:w="2880"/>
          </w:tcPr>
          <w:p>
            <w:r>
              <w:t>Next planned module</w:t>
            </w:r>
          </w:p>
        </w:tc>
        <w:tc>
          <w:tcPr>
            <w:tcW w:type="dxa" w:w="2880"/>
          </w:tcPr>
          <w:p>
            <w:r>
              <w:t>~8%</w:t>
            </w:r>
          </w:p>
        </w:tc>
      </w:tr>
    </w:tbl>
    <w:p/>
    <w:p>
      <w:pPr>
        <w:pStyle w:val="Heading2"/>
      </w:pPr>
      <w:r>
        <w:t>Completion Summary</w:t>
      </w:r>
    </w:p>
    <w:tbl>
      <w:tblPr>
        <w:tblStyle w:val="TableGrid"/>
        <w:tblW w:type="auto" w:w="0"/>
        <w:tblLook w:firstColumn="1" w:firstRow="1" w:lastColumn="0" w:lastRow="0" w:noHBand="0" w:noVBand="1" w:val="04A0"/>
      </w:tblPr>
      <w:tblGrid>
        <w:gridCol w:w="4320"/>
        <w:gridCol w:w="4320"/>
      </w:tblGrid>
      <w:tr>
        <w:tc>
          <w:tcPr>
            <w:tcW w:type="dxa" w:w="4320"/>
            <w:shd w:fill="E8F0FE"/>
          </w:tcPr>
          <w:p>
            <w:r>
              <w:rPr>
                <w:b/>
              </w:rPr>
              <w:t>Lens</w:t>
            </w:r>
          </w:p>
        </w:tc>
        <w:tc>
          <w:tcPr>
            <w:tcW w:type="dxa" w:w="4320"/>
            <w:shd w:fill="E8F0FE"/>
          </w:tcPr>
          <w:p>
            <w:r>
              <w:rPr>
                <w:b/>
              </w:rPr>
              <w:t>Estimate</w:t>
            </w:r>
          </w:p>
        </w:tc>
      </w:tr>
      <w:tr>
        <w:tc>
          <w:tcPr>
            <w:tcW w:type="dxa" w:w="4320"/>
          </w:tcPr>
          <w:p>
            <w:r>
              <w:t>Core converter coding (excluding reinsurance)</w:t>
            </w:r>
          </w:p>
        </w:tc>
        <w:tc>
          <w:tcPr>
            <w:tcW w:type="dxa" w:w="4320"/>
          </w:tcPr>
          <w:p>
            <w:r>
              <w:t>~90–92%</w:t>
            </w:r>
          </w:p>
        </w:tc>
      </w:tr>
      <w:tr>
        <w:tc>
          <w:tcPr>
            <w:tcW w:type="dxa" w:w="4320"/>
          </w:tcPr>
          <w:p>
            <w:r>
              <w:t>Full scope coding (including reinsurance, ISWL, agents)</w:t>
            </w:r>
          </w:p>
        </w:tc>
        <w:tc>
          <w:tcPr>
            <w:tcW w:type="dxa" w:w="4320"/>
          </w:tcPr>
          <w:p>
            <w:r>
              <w:t>~82–88%</w:t>
            </w:r>
          </w:p>
        </w:tc>
      </w:tr>
      <w:tr>
        <w:tc>
          <w:tcPr>
            <w:tcW w:type="dxa" w:w="4320"/>
          </w:tcPr>
          <w:p>
            <w:r>
              <w:t>Production-ready (code + UAT + business sign-off)</w:t>
            </w:r>
          </w:p>
        </w:tc>
        <w:tc>
          <w:tcPr>
            <w:tcW w:type="dxa" w:w="4320"/>
          </w:tcPr>
          <w:p>
            <w:r>
              <w:t>~70–75%</w:t>
            </w:r>
          </w:p>
        </w:tc>
      </w:tr>
    </w:tbl>
    <w:p/>
    <w:p>
      <w:pPr>
        <w:pStyle w:val="Heading1"/>
      </w:pPr>
      <w:r>
        <w:t>Recent Development Achievements</w:t>
      </w:r>
    </w:p>
    <w:tbl>
      <w:tblPr>
        <w:tblStyle w:val="TableGrid"/>
        <w:tblW w:type="auto" w:w="0"/>
        <w:tblLook w:firstColumn="1" w:firstRow="1" w:lastColumn="0" w:lastRow="0" w:noHBand="0" w:noVBand="1" w:val="04A0"/>
      </w:tblPr>
      <w:tblGrid>
        <w:gridCol w:w="2880"/>
        <w:gridCol w:w="2880"/>
        <w:gridCol w:w="2880"/>
      </w:tblGrid>
      <w:tr>
        <w:tc>
          <w:tcPr>
            <w:tcW w:type="dxa" w:w="2880"/>
            <w:shd w:fill="E8F0FE"/>
          </w:tcPr>
          <w:p>
            <w:r>
              <w:rPr>
                <w:b/>
              </w:rPr>
              <w:t>Version</w:t>
            </w:r>
          </w:p>
        </w:tc>
        <w:tc>
          <w:tcPr>
            <w:tcW w:type="dxa" w:w="2880"/>
            <w:shd w:fill="E8F0FE"/>
          </w:tcPr>
          <w:p>
            <w:r>
              <w:rPr>
                <w:b/>
              </w:rPr>
              <w:t>Issue</w:t>
            </w:r>
          </w:p>
        </w:tc>
        <w:tc>
          <w:tcPr>
            <w:tcW w:type="dxa" w:w="2880"/>
            <w:shd w:fill="E8F0FE"/>
          </w:tcPr>
          <w:p>
            <w:r>
              <w:rPr>
                <w:b/>
              </w:rPr>
              <w:t>Delivered</w:t>
            </w:r>
          </w:p>
        </w:tc>
      </w:tr>
      <w:tr>
        <w:tc>
          <w:tcPr>
            <w:tcW w:type="dxa" w:w="2880"/>
          </w:tcPr>
          <w:p>
            <w:r>
              <w:t>v57.35</w:t>
            </w:r>
          </w:p>
        </w:tc>
        <w:tc>
          <w:tcPr>
            <w:tcW w:type="dxa" w:w="2880"/>
          </w:tcPr>
          <w:p>
            <w:r>
              <w:t>#28</w:t>
            </w:r>
          </w:p>
        </w:tc>
        <w:tc>
          <w:tcPr>
            <w:tcW w:type="dxa" w:w="2880"/>
          </w:tcPr>
          <w:p>
            <w:r>
              <w:t>Product catalog PLAN authority — CLOSED</w:t>
            </w:r>
          </w:p>
        </w:tc>
      </w:tr>
      <w:tr>
        <w:tc>
          <w:tcPr>
            <w:tcW w:type="dxa" w:w="2880"/>
          </w:tcPr>
          <w:p>
            <w:r>
              <w:t>v57.36</w:t>
            </w:r>
          </w:p>
        </w:tc>
        <w:tc>
          <w:tcPr>
            <w:tcW w:type="dxa" w:w="2880"/>
          </w:tcPr>
          <w:p>
            <w:r>
              <w:t>#21D</w:t>
            </w:r>
          </w:p>
        </w:tc>
        <w:tc>
          <w:tcPr>
            <w:tcW w:type="dxa" w:w="2880"/>
          </w:tcPr>
          <w:p>
            <w:r>
              <w:t>ISWL MDEPINT + blank-name quikclnt emit (Track A + B1)</w:t>
            </w:r>
          </w:p>
        </w:tc>
      </w:tr>
      <w:tr>
        <w:tc>
          <w:tcPr>
            <w:tcW w:type="dxa" w:w="2880"/>
          </w:tcPr>
          <w:p>
            <w:r>
              <w:t>v57.38</w:t>
            </w:r>
          </w:p>
        </w:tc>
        <w:tc>
          <w:tcPr>
            <w:tcW w:type="dxa" w:w="2880"/>
          </w:tcPr>
          <w:p>
            <w:r>
              <w:t>#21J</w:t>
            </w:r>
          </w:p>
        </w:tc>
        <w:tc>
          <w:tcPr>
            <w:tcW w:type="dxa" w:w="2880"/>
          </w:tcPr>
          <w:p>
            <w:r>
              <w:t>Memo governance rollback (stable quikmemo behavior restored)</w:t>
            </w:r>
          </w:p>
        </w:tc>
      </w:tr>
      <w:tr>
        <w:tc>
          <w:tcPr>
            <w:tcW w:type="dxa" w:w="2880"/>
          </w:tcPr>
          <w:p>
            <w:r>
              <w:t>v57.39</w:t>
            </w:r>
          </w:p>
        </w:tc>
        <w:tc>
          <w:tcPr>
            <w:tcW w:type="dxa" w:w="2880"/>
          </w:tcPr>
          <w:p>
            <w:r>
              <w:t>#27</w:t>
            </w:r>
          </w:p>
        </w:tc>
        <w:tc>
          <w:tcPr>
            <w:tcW w:type="dxa" w:w="2880"/>
          </w:tcPr>
          <w:p>
            <w:r>
              <w:t>SL benefit suppression from quikridr — validated and regression-tested</w:t>
            </w:r>
          </w:p>
        </w:tc>
      </w:tr>
      <w:tr>
        <w:tc>
          <w:tcPr>
            <w:tcW w:type="dxa" w:w="2880"/>
          </w:tcPr>
          <w:p>
            <w:r>
              <w:t>v57.40</w:t>
            </w:r>
          </w:p>
        </w:tc>
        <w:tc>
          <w:tcPr>
            <w:tcW w:type="dxa" w:w="2880"/>
          </w:tcPr>
          <w:p>
            <w:r>
              <w:t>#32</w:t>
            </w:r>
          </w:p>
        </w:tc>
        <w:tc>
          <w:tcPr>
            <w:tcW w:type="dxa" w:w="2880"/>
          </w:tcPr>
          <w:p>
            <w:r>
              <w:t>QuikLoan v1.2 mapping — 384 rows validated; controlled production emit</w:t>
            </w:r>
          </w:p>
        </w:tc>
      </w:tr>
    </w:tbl>
    <w:p/>
    <w:p>
      <w:pPr>
        <w:pStyle w:val="Heading2"/>
      </w:pPr>
      <w:r>
        <w:t>Active Research and Planning</w:t>
      </w:r>
    </w:p>
    <w:p>
      <w:r>
        <w:t>Issue #31 / ISWL: PSEGT, PDINT, and PDINTTBL extracts received (June 29, 2026). The source dependency is cleared. Hierarchy trace is complete for all 8 ISWL coverages. QUIKCVS is conditionally implementation-ready; COI, GCOI, GPS, and UINT planning is advancing.</w:t>
      </w:r>
    </w:p>
    <w:p>
      <w:r>
        <w:t>Issue #32: Development and formal validation are complete. Regression review and client UAT on trace policy 010331768C are the next milestones before production emit enablement.</w:t>
      </w:r>
    </w:p>
    <w:p>
      <w:pPr>
        <w:pStyle w:val="Heading1"/>
      </w:pPr>
      <w:r>
        <w:t>Issue Status Summary</w:t>
      </w:r>
    </w:p>
    <w:p>
      <w:pPr>
        <w:pStyle w:val="Heading2"/>
      </w:pPr>
      <w:r>
        <w:t>Recently Closed</w:t>
      </w:r>
    </w:p>
    <w:tbl>
      <w:tblPr>
        <w:tblStyle w:val="TableGrid"/>
        <w:tblW w:type="auto" w:w="0"/>
        <w:tblLook w:firstColumn="1" w:firstRow="1" w:lastColumn="0" w:lastRow="0" w:noHBand="0" w:noVBand="1" w:val="04A0"/>
      </w:tblPr>
      <w:tblGrid>
        <w:gridCol w:w="2880"/>
        <w:gridCol w:w="2880"/>
        <w:gridCol w:w="2880"/>
      </w:tblGrid>
      <w:tr>
        <w:tc>
          <w:tcPr>
            <w:tcW w:type="dxa" w:w="2880"/>
            <w:shd w:fill="E8F0FE"/>
          </w:tcPr>
          <w:p>
            <w:r>
              <w:rPr>
                <w:b/>
              </w:rPr>
              <w:t>Issue</w:t>
            </w:r>
          </w:p>
        </w:tc>
        <w:tc>
          <w:tcPr>
            <w:tcW w:type="dxa" w:w="2880"/>
            <w:shd w:fill="E8F0FE"/>
          </w:tcPr>
          <w:p>
            <w:r>
              <w:rPr>
                <w:b/>
              </w:rPr>
              <w:t>Status</w:t>
            </w:r>
          </w:p>
        </w:tc>
        <w:tc>
          <w:tcPr>
            <w:tcW w:type="dxa" w:w="2880"/>
            <w:shd w:fill="E8F0FE"/>
          </w:tcPr>
          <w:p>
            <w:r>
              <w:rPr>
                <w:b/>
              </w:rPr>
              <w:t>Outcome</w:t>
            </w:r>
          </w:p>
        </w:tc>
      </w:tr>
      <w:tr>
        <w:tc>
          <w:tcPr>
            <w:tcW w:type="dxa" w:w="2880"/>
          </w:tcPr>
          <w:p>
            <w:r>
              <w:t>#21K</w:t>
            </w:r>
          </w:p>
        </w:tc>
        <w:tc>
          <w:tcPr>
            <w:tcW w:type="dxa" w:w="2880"/>
          </w:tcPr>
          <w:p>
            <w:r>
              <w:t>CLOSED</w:t>
            </w:r>
          </w:p>
        </w:tc>
        <w:tc>
          <w:tcPr>
            <w:tcW w:type="dxa" w:w="2880"/>
          </w:tcPr>
          <w:p>
            <w:r>
              <w:t>PUA precision confirmed correct; QLAdmin display rounding documented and accepted</w:t>
            </w:r>
          </w:p>
        </w:tc>
      </w:tr>
      <w:tr>
        <w:tc>
          <w:tcPr>
            <w:tcW w:type="dxa" w:w="2880"/>
          </w:tcPr>
          <w:p>
            <w:r>
              <w:t>#28</w:t>
            </w:r>
          </w:p>
        </w:tc>
        <w:tc>
          <w:tcPr>
            <w:tcW w:type="dxa" w:w="2880"/>
          </w:tcPr>
          <w:p>
            <w:r>
              <w:t>CLOSED</w:t>
            </w:r>
          </w:p>
        </w:tc>
        <w:tc>
          <w:tcPr>
            <w:tcW w:type="dxa" w:w="2880"/>
          </w:tcPr>
          <w:p>
            <w:r>
              <w:t>33 PLAN corrections + DISCHO25; client UAT PASS</w:t>
            </w:r>
          </w:p>
        </w:tc>
      </w:tr>
      <w:tr>
        <w:tc>
          <w:tcPr>
            <w:tcW w:type="dxa" w:w="2880"/>
          </w:tcPr>
          <w:p>
            <w:r>
              <w:t>#31</w:t>
            </w:r>
          </w:p>
        </w:tc>
        <w:tc>
          <w:tcPr>
            <w:tcW w:type="dxa" w:w="2880"/>
          </w:tcPr>
          <w:p>
            <w:r>
              <w:t>Resolved — Source Dependency</w:t>
            </w:r>
          </w:p>
        </w:tc>
        <w:tc>
          <w:tcPr>
            <w:tcW w:type="dxa" w:w="2880"/>
          </w:tcPr>
          <w:p>
            <w:r>
              <w:t>LifePRO extracts delivered; implementation planning underway</w:t>
            </w:r>
          </w:p>
        </w:tc>
      </w:tr>
    </w:tbl>
    <w:p/>
    <w:p>
      <w:pPr>
        <w:pStyle w:val="Heading2"/>
      </w:pPr>
      <w:r>
        <w:t>Released — Client UAT in Progress</w:t>
      </w:r>
    </w:p>
    <w:tbl>
      <w:tblPr>
        <w:tblStyle w:val="TableGrid"/>
        <w:tblW w:type="auto" w:w="0"/>
        <w:tblLook w:firstColumn="1" w:firstRow="1" w:lastColumn="0" w:lastRow="0" w:noHBand="0" w:noVBand="1" w:val="04A0"/>
      </w:tblPr>
      <w:tblGrid>
        <w:gridCol w:w="2880"/>
        <w:gridCol w:w="2880"/>
        <w:gridCol w:w="2880"/>
      </w:tblGrid>
      <w:tr>
        <w:tc>
          <w:tcPr>
            <w:tcW w:type="dxa" w:w="2880"/>
            <w:shd w:fill="E8F0FE"/>
          </w:tcPr>
          <w:p>
            <w:r>
              <w:rPr>
                <w:b/>
              </w:rPr>
              <w:t>Issue</w:t>
            </w:r>
          </w:p>
        </w:tc>
        <w:tc>
          <w:tcPr>
            <w:tcW w:type="dxa" w:w="2880"/>
            <w:shd w:fill="E8F0FE"/>
          </w:tcPr>
          <w:p>
            <w:r>
              <w:rPr>
                <w:b/>
              </w:rPr>
              <w:t>Status</w:t>
            </w:r>
          </w:p>
        </w:tc>
        <w:tc>
          <w:tcPr>
            <w:tcW w:type="dxa" w:w="2880"/>
            <w:shd w:fill="E8F0FE"/>
          </w:tcPr>
          <w:p>
            <w:r>
              <w:rPr>
                <w:b/>
              </w:rPr>
              <w:t>Next Step</w:t>
            </w:r>
          </w:p>
        </w:tc>
      </w:tr>
      <w:tr>
        <w:tc>
          <w:tcPr>
            <w:tcW w:type="dxa" w:w="2880"/>
          </w:tcPr>
          <w:p>
            <w:r>
              <w:t>#27</w:t>
            </w:r>
          </w:p>
        </w:tc>
        <w:tc>
          <w:tcPr>
            <w:tcW w:type="dxa" w:w="2880"/>
          </w:tcPr>
          <w:p>
            <w:r>
              <w:t>Dev complete (v57.39)</w:t>
            </w:r>
          </w:p>
        </w:tc>
        <w:tc>
          <w:tcPr>
            <w:tcW w:type="dxa" w:w="2880"/>
          </w:tcPr>
          <w:p>
            <w:r>
              <w:t>Client UAT sign-off</w:t>
            </w:r>
          </w:p>
        </w:tc>
      </w:tr>
      <w:tr>
        <w:tc>
          <w:tcPr>
            <w:tcW w:type="dxa" w:w="2880"/>
          </w:tcPr>
          <w:p>
            <w:r>
              <w:t>#21M / #21M-FU</w:t>
            </w:r>
          </w:p>
        </w:tc>
        <w:tc>
          <w:tcPr>
            <w:tcW w:type="dxa" w:w="2880"/>
          </w:tcPr>
          <w:p>
            <w:r>
              <w:t>Released (v57.34+)</w:t>
            </w:r>
          </w:p>
        </w:tc>
        <w:tc>
          <w:tcPr>
            <w:tcW w:type="dxa" w:w="2880"/>
          </w:tcPr>
          <w:p>
            <w:r>
              <w:t>Memo tab UAT on policy 010335038C</w:t>
            </w:r>
          </w:p>
        </w:tc>
      </w:tr>
      <w:tr>
        <w:tc>
          <w:tcPr>
            <w:tcW w:type="dxa" w:w="2880"/>
          </w:tcPr>
          <w:p>
            <w:r>
              <w:t>#21D</w:t>
            </w:r>
          </w:p>
        </w:tc>
        <w:tc>
          <w:tcPr>
            <w:tcW w:type="dxa" w:w="2880"/>
          </w:tcPr>
          <w:p>
            <w:r>
              <w:t>Track A + B1 ready (v57.36)</w:t>
            </w:r>
          </w:p>
        </w:tc>
        <w:tc>
          <w:tcPr>
            <w:tcW w:type="dxa" w:w="2880"/>
          </w:tcPr>
          <w:p>
            <w:r>
              <w:t>Client UAT; Track B2 when RNA re-extract delivered</w:t>
            </w:r>
          </w:p>
        </w:tc>
      </w:tr>
      <w:tr>
        <w:tc>
          <w:tcPr>
            <w:tcW w:type="dxa" w:w="2880"/>
          </w:tcPr>
          <w:p>
            <w:r>
              <w:t>#32</w:t>
            </w:r>
          </w:p>
        </w:tc>
        <w:tc>
          <w:tcPr>
            <w:tcW w:type="dxa" w:w="2880"/>
          </w:tcPr>
          <w:p>
            <w:r>
              <w:t>Validation PASS (v57.40)</w:t>
            </w:r>
          </w:p>
        </w:tc>
        <w:tc>
          <w:tcPr>
            <w:tcW w:type="dxa" w:w="2880"/>
          </w:tcPr>
          <w:p>
            <w:r>
              <w:t>Regression review + QLAdmin loan interest UAT</w:t>
            </w:r>
          </w:p>
        </w:tc>
      </w:tr>
    </w:tbl>
    <w:p/>
    <w:p>
      <w:pPr>
        <w:pStyle w:val="Heading2"/>
      </w:pPr>
      <w:r>
        <w:t>Tracking Items — Client Coordination</w:t>
      </w:r>
    </w:p>
    <w:tbl>
      <w:tblPr>
        <w:tblStyle w:val="TableGrid"/>
        <w:tblW w:type="auto" w:w="0"/>
        <w:tblLook w:firstColumn="1" w:firstRow="1" w:lastColumn="0" w:lastRow="0" w:noHBand="0" w:noVBand="1" w:val="04A0"/>
      </w:tblPr>
      <w:tblGrid>
        <w:gridCol w:w="2880"/>
        <w:gridCol w:w="2880"/>
        <w:gridCol w:w="2880"/>
      </w:tblGrid>
      <w:tr>
        <w:tc>
          <w:tcPr>
            <w:tcW w:type="dxa" w:w="2880"/>
            <w:shd w:fill="E8F0FE"/>
          </w:tcPr>
          <w:p>
            <w:r>
              <w:rPr>
                <w:b/>
              </w:rPr>
              <w:t>Issue</w:t>
            </w:r>
          </w:p>
        </w:tc>
        <w:tc>
          <w:tcPr>
            <w:tcW w:type="dxa" w:w="2880"/>
            <w:shd w:fill="E8F0FE"/>
          </w:tcPr>
          <w:p>
            <w:r>
              <w:rPr>
                <w:b/>
              </w:rPr>
              <w:t>Status</w:t>
            </w:r>
          </w:p>
        </w:tc>
        <w:tc>
          <w:tcPr>
            <w:tcW w:type="dxa" w:w="2880"/>
            <w:shd w:fill="E8F0FE"/>
          </w:tcPr>
          <w:p>
            <w:r>
              <w:rPr>
                <w:b/>
              </w:rPr>
              <w:t>Notes</w:t>
            </w:r>
          </w:p>
        </w:tc>
      </w:tr>
      <w:tr>
        <w:tc>
          <w:tcPr>
            <w:tcW w:type="dxa" w:w="2880"/>
          </w:tcPr>
          <w:p>
            <w:r>
              <w:t>#30</w:t>
            </w:r>
          </w:p>
        </w:tc>
        <w:tc>
          <w:tcPr>
            <w:tcW w:type="dxa" w:w="2880"/>
          </w:tcPr>
          <w:p>
            <w:r>
              <w:t>Open — tracking register</w:t>
            </w:r>
          </w:p>
        </w:tc>
        <w:tc>
          <w:tcPr>
            <w:tcW w:type="dxa" w:w="2880"/>
          </w:tcPr>
          <w:p>
            <w:r>
              <w:t>18 policies (0.35%) — source RNA data completeness; converter logic confirmed correct</w:t>
            </w:r>
          </w:p>
        </w:tc>
      </w:tr>
      <w:tr>
        <w:tc>
          <w:tcPr>
            <w:tcW w:type="dxa" w:w="2880"/>
          </w:tcPr>
          <w:p>
            <w:r>
              <w:t>#21A, #21E–#21G, #21I, #21J</w:t>
            </w:r>
          </w:p>
        </w:tc>
        <w:tc>
          <w:tcPr>
            <w:tcW w:type="dxa" w:w="2880"/>
          </w:tcPr>
          <w:p>
            <w:r>
              <w:t>Awaiting client input</w:t>
            </w:r>
          </w:p>
        </w:tc>
        <w:tc>
          <w:tcPr>
            <w:tcW w:type="dxa" w:w="2880"/>
          </w:tcPr>
          <w:p>
            <w:r>
              <w:t>Business rule definitions for remaining Issue #21 items</w:t>
            </w:r>
          </w:p>
        </w:tc>
      </w:tr>
      <w:tr>
        <w:tc>
          <w:tcPr>
            <w:tcW w:type="dxa" w:w="2880"/>
          </w:tcPr>
          <w:p>
            <w:r>
              <w:t>Claims review queue</w:t>
            </w:r>
          </w:p>
        </w:tc>
        <w:tc>
          <w:tcPr>
            <w:tcW w:type="dxa" w:w="2880"/>
          </w:tcPr>
          <w:p>
            <w:r>
              <w:t>147 claims in business review</w:t>
            </w:r>
          </w:p>
        </w:tc>
        <w:tc>
          <w:tcPr>
            <w:tcW w:type="dxa" w:w="2880"/>
          </w:tcPr>
          <w:p>
            <w:r>
              <w:t>Governance process active; UAT emit populations already validated</w:t>
            </w:r>
          </w:p>
        </w:tc>
      </w:tr>
    </w:tbl>
    <w:p/>
    <w:p>
      <w:pPr>
        <w:pStyle w:val="Heading2"/>
      </w:pPr>
      <w:r>
        <w:t>Upcoming Modules</w:t>
      </w:r>
    </w:p>
    <w:tbl>
      <w:tblPr>
        <w:tblStyle w:val="TableGrid"/>
        <w:tblW w:type="auto" w:w="0"/>
        <w:tblLook w:firstColumn="1" w:firstRow="1" w:lastColumn="0" w:lastRow="0" w:noHBand="0" w:noVBand="1" w:val="04A0"/>
      </w:tblPr>
      <w:tblGrid>
        <w:gridCol w:w="2880"/>
        <w:gridCol w:w="2880"/>
        <w:gridCol w:w="2880"/>
      </w:tblGrid>
      <w:tr>
        <w:tc>
          <w:tcPr>
            <w:tcW w:type="dxa" w:w="2880"/>
            <w:shd w:fill="E8F0FE"/>
          </w:tcPr>
          <w:p>
            <w:r>
              <w:rPr>
                <w:b/>
              </w:rPr>
              <w:t>Module</w:t>
            </w:r>
          </w:p>
        </w:tc>
        <w:tc>
          <w:tcPr>
            <w:tcW w:type="dxa" w:w="2880"/>
            <w:shd w:fill="E8F0FE"/>
          </w:tcPr>
          <w:p>
            <w:r>
              <w:rPr>
                <w:b/>
              </w:rPr>
              <w:t>Status</w:t>
            </w:r>
          </w:p>
        </w:tc>
        <w:tc>
          <w:tcPr>
            <w:tcW w:type="dxa" w:w="2880"/>
            <w:shd w:fill="E8F0FE"/>
          </w:tcPr>
          <w:p>
            <w:r>
              <w:rPr>
                <w:b/>
              </w:rPr>
              <w:t>Readiness</w:t>
            </w:r>
          </w:p>
        </w:tc>
      </w:tr>
      <w:tr>
        <w:tc>
          <w:tcPr>
            <w:tcW w:type="dxa" w:w="2880"/>
          </w:tcPr>
          <w:p>
            <w:r>
              <w:t>Reinsurance (quikrein, quikrmst, quikrcoa)</w:t>
            </w:r>
          </w:p>
        </w:tc>
        <w:tc>
          <w:tcPr>
            <w:tcW w:type="dxa" w:w="2880"/>
          </w:tcPr>
          <w:p>
            <w:r>
              <w:t>Planned next module (~8% of project)</w:t>
            </w:r>
          </w:p>
        </w:tc>
        <w:tc>
          <w:tcPr>
            <w:tcW w:type="dxa" w:w="2880"/>
          </w:tcPr>
          <w:p>
            <w:r>
              <w:t>Source extracts available (PREIN, PREINTRT, PRADJ)</w:t>
            </w:r>
          </w:p>
        </w:tc>
      </w:tr>
      <w:tr>
        <w:tc>
          <w:tcPr>
            <w:tcW w:type="dxa" w:w="2880"/>
          </w:tcPr>
          <w:p>
            <w:r>
              <w:t>Agent / Commission</w:t>
            </w:r>
          </w:p>
        </w:tc>
        <w:tc>
          <w:tcPr>
            <w:tcW w:type="dxa" w:w="2880"/>
          </w:tcPr>
          <w:p>
            <w:r>
              <w:t>Awaiting client requirements</w:t>
            </w:r>
          </w:p>
        </w:tc>
        <w:tc>
          <w:tcPr>
            <w:tcW w:type="dxa" w:w="2880"/>
          </w:tcPr>
          <w:p>
            <w:r>
              <w:t>Schema defined in converter; ready when client delivers scope</w:t>
            </w:r>
          </w:p>
        </w:tc>
      </w:tr>
      <w:tr>
        <w:tc>
          <w:tcPr>
            <w:tcW w:type="dxa" w:w="2880"/>
          </w:tcPr>
          <w:p>
            <w:r>
              <w:t>ISWL UL rates</w:t>
            </w:r>
          </w:p>
        </w:tc>
        <w:tc>
          <w:tcPr>
            <w:tcW w:type="dxa" w:w="2880"/>
          </w:tcPr>
          <w:p>
            <w:r>
              <w:t>Planning complete</w:t>
            </w:r>
          </w:p>
        </w:tc>
        <w:tc>
          <w:tcPr>
            <w:tcW w:type="dxa" w:w="2880"/>
          </w:tcPr>
          <w:p>
            <w:r>
              <w:t>QUIKCVS first; phased roadmap for GPS → COI → GCOI</w:t>
            </w:r>
          </w:p>
        </w:tc>
      </w:tr>
    </w:tbl>
    <w:p/>
    <w:p>
      <w:pPr>
        <w:pStyle w:val="Heading1"/>
      </w:pPr>
      <w:r>
        <w:t>Module Completion Overview</w:t>
      </w:r>
    </w:p>
    <w:p>
      <w:r>
        <w:t>Completed Modules:</w:t>
      </w:r>
    </w:p>
    <w:p>
      <w:pPr>
        <w:pStyle w:val="ListBullet"/>
      </w:pPr>
      <w:r>
        <w:t>quikplan, quikmstr, quikridr, quikclnt, quikclid, quikprmh, quikbenh, quikbenf, quikmemo, quikdvdp, quikclms/quikclmp (UAT populations), standard rate tables (QuikNps, QuikTvs, and related rate CSVs)</w:t>
      </w:r>
    </w:p>
    <w:p>
      <w:r>
        <w:t>Coded with Controlled Release:</w:t>
      </w:r>
    </w:p>
    <w:p>
      <w:pPr>
        <w:pStyle w:val="ListBullet"/>
      </w:pPr>
      <w:r>
        <w:t>quikloan (#32 — environment-flag controlled production emit for safe rollout)</w:t>
      </w:r>
    </w:p>
    <w:p>
      <w:r>
        <w:t>Planning Complete — Ready for Development:</w:t>
      </w:r>
    </w:p>
    <w:p>
      <w:pPr>
        <w:pStyle w:val="ListBullet"/>
      </w:pPr>
      <w:r>
        <w:t>ISWL: QuikCvs, QuikGps, QuikCoi, QuikGcoi, QuikUint, QuikIssc</w:t>
      </w:r>
    </w:p>
    <w:p>
      <w:r>
        <w:t>Next Planned Development:</w:t>
      </w:r>
    </w:p>
    <w:p>
      <w:pPr>
        <w:pStyle w:val="ListBullet"/>
      </w:pPr>
      <w:r>
        <w:t>Reinsurance: quikrein, quikrmst, quikrcoa (~8% of remaining project scope)</w:t>
      </w:r>
    </w:p>
    <w:p>
      <w:pPr>
        <w:pStyle w:val="Heading1"/>
      </w:pPr>
      <w:r>
        <w:t>Project Strengths</w:t>
      </w:r>
    </w:p>
    <w:p>
      <w:pPr>
        <w:pStyle w:val="ListBullet"/>
      </w:pPr>
      <w:r>
        <w:t>Mature, surgical development model — issues are isolated, versioned, and regression-tested with protected-issue safeguards.</w:t>
      </w:r>
    </w:p>
    <w:p>
      <w:pPr>
        <w:pStyle w:val="ListBullet"/>
      </w:pPr>
      <w:r>
        <w:t>Core fleet conversion is solid — approximately 5,083 policies converted with major structural issues resolved (#25–#28, #27).</w:t>
      </w:r>
    </w:p>
    <w:p>
      <w:pPr>
        <w:pStyle w:val="ListBullet"/>
      </w:pPr>
      <w:r>
        <w:t>Claims pipeline is fully implemented — Phase 14–19 logic complete; UAT populations validated and ready for client review.</w:t>
      </w:r>
    </w:p>
    <w:p>
      <w:pPr>
        <w:pStyle w:val="ListBullet"/>
      </w:pPr>
      <w:r>
        <w:t>ISWL research advanced significantly — Issue #31 source extracts received; hierarchy trace complete for 8 ISWL coverages.</w:t>
      </w:r>
    </w:p>
    <w:p>
      <w:pPr>
        <w:pStyle w:val="ListBullet"/>
      </w:pPr>
      <w:r>
        <w:t>Strong release velocity — five version increments (v57.35–v57.40) delivered in June 2026 with documented validation evidence.</w:t>
      </w:r>
    </w:p>
    <w:p>
      <w:pPr>
        <w:pStyle w:val="ListBullet"/>
      </w:pPr>
      <w:r>
        <w:t>Rollback-safe architecture — environment flags and opt-in emit controls protect production stability during phased rollout.</w:t>
      </w:r>
    </w:p>
    <w:p>
      <w:pPr>
        <w:pStyle w:val="Heading1"/>
      </w:pPr>
      <w:r>
        <w:t>Recommended Priority Sequence</w:t>
      </w:r>
    </w:p>
    <w:tbl>
      <w:tblPr>
        <w:tblStyle w:val="TableGrid"/>
        <w:tblW w:type="auto" w:w="0"/>
        <w:tblLook w:firstColumn="1" w:firstRow="1" w:lastColumn="0" w:lastRow="0" w:noHBand="0" w:noVBand="1" w:val="04A0"/>
      </w:tblPr>
      <w:tblGrid>
        <w:gridCol w:w="2880"/>
        <w:gridCol w:w="2880"/>
        <w:gridCol w:w="2880"/>
      </w:tblGrid>
      <w:tr>
        <w:tc>
          <w:tcPr>
            <w:tcW w:type="dxa" w:w="2880"/>
            <w:shd w:fill="E8F0FE"/>
          </w:tcPr>
          <w:p>
            <w:r>
              <w:rPr>
                <w:b/>
              </w:rPr>
              <w:t>Priority</w:t>
            </w:r>
          </w:p>
        </w:tc>
        <w:tc>
          <w:tcPr>
            <w:tcW w:type="dxa" w:w="2880"/>
            <w:shd w:fill="E8F0FE"/>
          </w:tcPr>
          <w:p>
            <w:r>
              <w:rPr>
                <w:b/>
              </w:rPr>
              <w:t>Work</w:t>
            </w:r>
          </w:p>
        </w:tc>
        <w:tc>
          <w:tcPr>
            <w:tcW w:type="dxa" w:w="2880"/>
            <w:shd w:fill="E8F0FE"/>
          </w:tcPr>
          <w:p>
            <w:r>
              <w:rPr>
                <w:b/>
              </w:rPr>
              <w:t>Rationale</w:t>
            </w:r>
          </w:p>
        </w:tc>
      </w:tr>
      <w:tr>
        <w:tc>
          <w:tcPr>
            <w:tcW w:type="dxa" w:w="2880"/>
          </w:tcPr>
          <w:p>
            <w:r>
              <w:t>1</w:t>
            </w:r>
          </w:p>
        </w:tc>
        <w:tc>
          <w:tcPr>
            <w:tcW w:type="dxa" w:w="2880"/>
          </w:tcPr>
          <w:p>
            <w:r>
              <w:t>Complete client UAT (#27, #21M, #21D, #32)</w:t>
            </w:r>
          </w:p>
        </w:tc>
        <w:tc>
          <w:tcPr>
            <w:tcW w:type="dxa" w:w="2880"/>
          </w:tcPr>
          <w:p>
            <w:r>
              <w:t>Activates already-validated releases for production</w:t>
            </w:r>
          </w:p>
        </w:tc>
      </w:tr>
      <w:tr>
        <w:tc>
          <w:tcPr>
            <w:tcW w:type="dxa" w:w="2880"/>
          </w:tcPr>
          <w:p>
            <w:r>
              <w:t>2</w:t>
            </w:r>
          </w:p>
        </w:tc>
        <w:tc>
          <w:tcPr>
            <w:tcW w:type="dxa" w:w="2880"/>
          </w:tcPr>
          <w:p>
            <w:r>
              <w:t>ISWL Phase 1 — QUIKCVS</w:t>
            </w:r>
          </w:p>
        </w:tc>
        <w:tc>
          <w:tcPr>
            <w:tcW w:type="dxa" w:w="2880"/>
          </w:tcPr>
          <w:p>
            <w:r>
              <w:t>Implementation-ready; supports ~2,268 ISWL policies</w:t>
            </w:r>
          </w:p>
        </w:tc>
      </w:tr>
      <w:tr>
        <w:tc>
          <w:tcPr>
            <w:tcW w:type="dxa" w:w="2880"/>
          </w:tcPr>
          <w:p>
            <w:r>
              <w:t>3</w:t>
            </w:r>
          </w:p>
        </w:tc>
        <w:tc>
          <w:tcPr>
            <w:tcW w:type="dxa" w:w="2880"/>
          </w:tcPr>
          <w:p>
            <w:r>
              <w:t>Reinsurance intake and planning</w:t>
            </w:r>
          </w:p>
        </w:tc>
        <w:tc>
          <w:tcPr>
            <w:tcW w:type="dxa" w:w="2880"/>
          </w:tcPr>
          <w:p>
            <w:r>
              <w:t>~8% of project scope; source data already available</w:t>
            </w:r>
          </w:p>
        </w:tc>
      </w:tr>
      <w:tr>
        <w:tc>
          <w:tcPr>
            <w:tcW w:type="dxa" w:w="2880"/>
          </w:tcPr>
          <w:p>
            <w:r>
              <w:t>4</w:t>
            </w:r>
          </w:p>
        </w:tc>
        <w:tc>
          <w:tcPr>
            <w:tcW w:type="dxa" w:w="2880"/>
          </w:tcPr>
          <w:p>
            <w:r>
              <w:t>Agent / commission module</w:t>
            </w:r>
          </w:p>
        </w:tc>
        <w:tc>
          <w:tcPr>
            <w:tcW w:type="dxa" w:w="2880"/>
          </w:tcPr>
          <w:p>
            <w:r>
              <w:t>Parallel intake when client delivers requirements</w:t>
            </w:r>
          </w:p>
        </w:tc>
      </w:tr>
      <w:tr>
        <w:tc>
          <w:tcPr>
            <w:tcW w:type="dxa" w:w="2880"/>
          </w:tcPr>
          <w:p>
            <w:r>
              <w:t>5</w:t>
            </w:r>
          </w:p>
        </w:tc>
        <w:tc>
          <w:tcPr>
            <w:tcW w:type="dxa" w:w="2880"/>
          </w:tcPr>
          <w:p>
            <w:r>
              <w:t>ISWL Phases 2–4 (GPS / COI / GCOI)</w:t>
            </w:r>
          </w:p>
        </w:tc>
        <w:tc>
          <w:tcPr>
            <w:tcW w:type="dxa" w:w="2880"/>
          </w:tcPr>
          <w:p>
            <w:r>
              <w:t>Phased rollout after SME sign-off on segment rules</w:t>
            </w:r>
          </w:p>
        </w:tc>
      </w:tr>
    </w:tbl>
    <w:p/>
    <w:p>
      <w:pPr>
        <w:pStyle w:val="Heading1"/>
      </w:pPr>
      <w:r>
        <w:t>Bottom Line</w:t>
      </w:r>
    </w:p>
    <w:tbl>
      <w:tblPr>
        <w:tblStyle w:val="TableGrid"/>
        <w:tblW w:type="auto" w:w="0"/>
        <w:tblLook w:firstColumn="1" w:firstRow="1" w:lastColumn="0" w:lastRow="0" w:noHBand="0" w:noVBand="1" w:val="04A0"/>
      </w:tblPr>
      <w:tblGrid>
        <w:gridCol w:w="4320"/>
        <w:gridCol w:w="4320"/>
      </w:tblGrid>
      <w:tr>
        <w:tc>
          <w:tcPr>
            <w:tcW w:type="dxa" w:w="4320"/>
            <w:shd w:fill="E8F0FE"/>
          </w:tcPr>
          <w:p>
            <w:r>
              <w:rPr>
                <w:b/>
              </w:rPr>
              <w:t>Question</w:t>
            </w:r>
          </w:p>
        </w:tc>
        <w:tc>
          <w:tcPr>
            <w:tcW w:type="dxa" w:w="4320"/>
            <w:shd w:fill="E8F0FE"/>
          </w:tcPr>
          <w:p>
            <w:r>
              <w:rPr>
                <w:b/>
              </w:rPr>
              <w:t>Answer</w:t>
            </w:r>
          </w:p>
        </w:tc>
      </w:tr>
      <w:tr>
        <w:tc>
          <w:tcPr>
            <w:tcW w:type="dxa" w:w="4320"/>
          </w:tcPr>
          <w:p>
            <w:r>
              <w:t>How much coding is done?</w:t>
            </w:r>
          </w:p>
        </w:tc>
        <w:tc>
          <w:tcPr>
            <w:tcW w:type="dxa" w:w="4320"/>
          </w:tcPr>
          <w:p>
            <w:r>
              <w:t>~88–92% (reinsurance as primary remaining module); ~82–88% including ISWL and agents</w:t>
            </w:r>
          </w:p>
        </w:tc>
      </w:tr>
      <w:tr>
        <w:tc>
          <w:tcPr>
            <w:tcW w:type="dxa" w:w="4320"/>
          </w:tcPr>
          <w:p>
            <w:r>
              <w:t>How much is production-ready?</w:t>
            </w:r>
          </w:p>
        </w:tc>
        <w:tc>
          <w:tcPr>
            <w:tcW w:type="dxa" w:w="4320"/>
          </w:tcPr>
          <w:p>
            <w:r>
              <w:t>~70–75% — advancing through client UAT milestones</w:t>
            </w:r>
          </w:p>
        </w:tc>
      </w:tr>
      <w:tr>
        <w:tc>
          <w:tcPr>
            <w:tcW w:type="dxa" w:w="4320"/>
          </w:tcPr>
          <w:p>
            <w:r>
              <w:t>Biggest upcoming module?</w:t>
            </w:r>
          </w:p>
        </w:tc>
        <w:tc>
          <w:tcPr>
            <w:tcW w:type="dxa" w:w="4320"/>
          </w:tcPr>
          <w:p>
            <w:r>
              <w:t>Reinsurance (~8%) — quikrein, quikrmst, quikrcoa</w:t>
            </w:r>
          </w:p>
        </w:tc>
      </w:tr>
      <w:tr>
        <w:tc>
          <w:tcPr>
            <w:tcW w:type="dxa" w:w="4320"/>
          </w:tcPr>
          <w:p>
            <w:r>
              <w:t>Current development focus?</w:t>
            </w:r>
          </w:p>
        </w:tc>
        <w:tc>
          <w:tcPr>
            <w:tcW w:type="dxa" w:w="4320"/>
          </w:tcPr>
          <w:p>
            <w:r>
              <w:t>Issue #32 QuikLoan (v57.40 shipped); ISWL planning post-#31; reinsurance intake next</w:t>
            </w:r>
          </w:p>
        </w:tc>
      </w:tr>
      <w:tr>
        <w:tc>
          <w:tcPr>
            <w:tcW w:type="dxa" w:w="4320"/>
          </w:tcPr>
          <w:p>
            <w:r>
              <w:t>Active tracked issues?</w:t>
            </w:r>
          </w:p>
        </w:tc>
        <w:tc>
          <w:tcPr>
            <w:tcW w:type="dxa" w:w="4320"/>
          </w:tcPr>
          <w:p>
            <w:r>
              <w:t>~8–10 issues plus claims review queue and upcoming module work</w:t>
            </w:r>
          </w:p>
        </w:tc>
      </w:tr>
    </w:tbl>
    <w:p/>
    <w:p>
      <w:pPr>
        <w:pStyle w:val="Heading1"/>
      </w:pPr>
      <w:r>
        <w:t>Recommended Next Steps</w:t>
      </w:r>
    </w:p>
    <w:p>
      <w:pPr>
        <w:pStyle w:val="ListNumber"/>
      </w:pPr>
      <w:r>
        <w:t>Track A — Production Cutover: Advance client UAT on Issues #27, #21M, #21D, and #32. Each validated release moves the project closer to production authorization.</w:t>
      </w:r>
    </w:p>
    <w:p>
      <w:pPr>
        <w:pStyle w:val="ListNumber"/>
      </w:pPr>
      <w:r>
        <w:t>Track B — Scope Completion: Open reinsurance intake using existing PREIN/PREINTRT extracts. Proceed with ISWL QUIKCVS development once PDAGE parity is confirmed.</w:t>
      </w:r>
    </w:p>
    <w:p>
      <w:pPr>
        <w:pStyle w:val="ListNumber"/>
      </w:pPr>
      <w:r>
        <w:t>Update master tracking documentation to reflect v57.40 and recent issue closures (#21K, #27, #31, #32).</w:t>
      </w:r>
    </w:p>
    <w:p>
      <w:r>
        <w:rPr>
          <w:i/>
        </w:rPr>
        <w:br/>
        <w:t>Prepared for: Loyal American Life — LifePRO to QLAdmin Conversion Project</w:t>
        <w:br/>
      </w:r>
      <w:r>
        <w:rPr>
          <w:i/>
        </w:rPr>
        <w:t>Document generated from project issue logs and release artifacts.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