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LifePRO to QLAdmin Rate Mapping Flow</w:t>
      </w:r>
    </w:p>
    <w:p>
      <w:pPr>
        <w:jc w:val="center"/>
      </w:pPr>
      <w:r>
        <w:rPr>
          <w:i/>
          <w:sz w:val="20"/>
        </w:rPr>
        <w:t>Meeting artifact: how delivered LifePRO rates are loaded, shared/inherited, or documented as unavailable</w:t>
      </w:r>
    </w:p>
    <w:p>
      <w:pPr>
        <w:pStyle w:val="Heading1"/>
      </w:pPr>
      <w:r>
        <w:t>Executive Summary</w:t>
      </w:r>
    </w:p>
    <w:p>
      <w:r>
        <w:t>Every LifePRO rate follows one of three paths:</w:t>
      </w:r>
    </w:p>
    <w:p>
      <w:pPr>
        <w:pStyle w:val="ListBullet"/>
      </w:pPr>
      <w:r>
        <w:t>Loaded directly from the delivered rate extract.</w:t>
      </w:r>
    </w:p>
    <w:p>
      <w:pPr>
        <w:pStyle w:val="ListBullet"/>
      </w:pPr>
      <w:r>
        <w:t>Loaded through an approved shared/inherited segment relationship.</w:t>
      </w:r>
    </w:p>
    <w:p>
      <w:pPr>
        <w:pStyle w:val="ListBullet"/>
      </w:pPr>
      <w:r>
        <w:t>Documented as not loadable yet because the source row is missing, the QLAdmin destination is not confirmed, or the segmentation does not fit the confirmed QLAdmin rules.</w:t>
      </w:r>
    </w:p>
    <w:p>
      <w:r>
        <w:t>The converter does not invent rates. A rate value must exist in Rate_Table_Extract_20260427.csv or PAAGERAT_AttainedAge_Rates_Extract_20260428.csv.</w:t>
      </w:r>
    </w:p>
    <w:p>
      <w:pPr>
        <w:pStyle w:val="Heading1"/>
      </w:pPr>
      <w:r>
        <w:t>Word-Friendly Rate Mapping Flow</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Step</w:t>
            </w:r>
          </w:p>
        </w:tc>
        <w:tc>
          <w:tcPr>
            <w:tcW w:type="dxa" w:w="5184"/>
            <w:vAlign w:val="top"/>
            <w:shd w:fill="D9EAF7"/>
          </w:tcPr>
          <w:p>
            <w:r/>
            <w:r>
              <w:rPr>
                <w:b/>
                <w:sz w:val="18"/>
              </w:rPr>
              <w:t>What Happens</w:t>
            </w:r>
          </w:p>
        </w:tc>
      </w:tr>
      <w:tr>
        <w:tc>
          <w:tcPr>
            <w:tcW w:type="dxa" w:w="5184"/>
            <w:vAlign w:val="top"/>
          </w:tcPr>
          <w:p>
            <w:r/>
            <w:r>
              <w:rPr>
                <w:b/>
                <w:sz w:val="18"/>
              </w:rPr>
              <w:t>1. Delivered LifePRO source files</w:t>
            </w:r>
          </w:p>
        </w:tc>
        <w:tc>
          <w:tcPr>
            <w:tcW w:type="dxa" w:w="5184"/>
            <w:vAlign w:val="top"/>
          </w:tcPr>
          <w:p>
            <w:r/>
            <w:r>
              <w:rPr>
                <w:b w:val="0"/>
                <w:sz w:val="18"/>
              </w:rPr>
              <w:t>Rate_Table holds age/duration rate values. PAAGERAT holds attained-age rate values. PCOVR and PCOVRSGT identify product and segment setup.</w:t>
            </w:r>
          </w:p>
        </w:tc>
      </w:tr>
      <w:tr>
        <w:tc>
          <w:tcPr>
            <w:tcW w:type="dxa" w:w="5184"/>
            <w:vAlign w:val="top"/>
          </w:tcPr>
          <w:p>
            <w:r/>
            <w:r>
              <w:rPr>
                <w:b/>
                <w:sz w:val="18"/>
              </w:rPr>
              <w:t>2. Determine where the rate value exists</w:t>
            </w:r>
          </w:p>
        </w:tc>
        <w:tc>
          <w:tcPr>
            <w:tcW w:type="dxa" w:w="5184"/>
            <w:vAlign w:val="top"/>
          </w:tcPr>
          <w:p>
            <w:r/>
            <w:r>
              <w:rPr>
                <w:b w:val="0"/>
                <w:sz w:val="18"/>
              </w:rPr>
              <w:t>If the value exists in Rate_Table, use the Rate_Table path. If it exists in PAAGERAT, use the PAAGERAT attained-age path. If neither file has the row, document a source gap.</w:t>
            </w:r>
          </w:p>
        </w:tc>
      </w:tr>
      <w:tr>
        <w:tc>
          <w:tcPr>
            <w:tcW w:type="dxa" w:w="5184"/>
            <w:vAlign w:val="top"/>
          </w:tcPr>
          <w:p>
            <w:r/>
            <w:r>
              <w:rPr>
                <w:b/>
                <w:sz w:val="18"/>
              </w:rPr>
              <w:t>3. Resolve the QLAdmin plan</w:t>
            </w:r>
          </w:p>
        </w:tc>
        <w:tc>
          <w:tcPr>
            <w:tcW w:type="dxa" w:w="5184"/>
            <w:vAlign w:val="top"/>
          </w:tcPr>
          <w:p>
            <w:r/>
            <w:r>
              <w:rPr>
                <w:b w:val="0"/>
                <w:sz w:val="18"/>
              </w:rPr>
              <w:t>Direct Rate_Table rows map COVERAGE_ID through the Policy Form Crosswalk. PAAGERAT rows resolve segment ID through PCOVRSGT/PCOVR and then the crosswalk.</w:t>
            </w:r>
          </w:p>
        </w:tc>
      </w:tr>
      <w:tr>
        <w:tc>
          <w:tcPr>
            <w:tcW w:type="dxa" w:w="5184"/>
            <w:vAlign w:val="top"/>
          </w:tcPr>
          <w:p>
            <w:r/>
            <w:r>
              <w:rPr>
                <w:b/>
                <w:sz w:val="18"/>
              </w:rPr>
              <w:t>4. Apply shared/inherited segment rules</w:t>
            </w:r>
          </w:p>
        </w:tc>
        <w:tc>
          <w:tcPr>
            <w:tcW w:type="dxa" w:w="5184"/>
            <w:vAlign w:val="top"/>
          </w:tcPr>
          <w:p>
            <w:r/>
            <w:r>
              <w:rPr>
                <w:b w:val="0"/>
                <w:sz w:val="18"/>
              </w:rPr>
              <w:t>If PCOVRSGT shows an approved source segment relationship, the source segment rate can emit under the inheriting QLAdmin PLAN.</w:t>
            </w:r>
          </w:p>
        </w:tc>
      </w:tr>
      <w:tr>
        <w:tc>
          <w:tcPr>
            <w:tcW w:type="dxa" w:w="5184"/>
            <w:vAlign w:val="top"/>
          </w:tcPr>
          <w:p>
            <w:r/>
            <w:r>
              <w:rPr>
                <w:b/>
                <w:sz w:val="18"/>
              </w:rPr>
              <w:t>5. Route to confirmed QLAdmin table</w:t>
            </w:r>
          </w:p>
        </w:tc>
        <w:tc>
          <w:tcPr>
            <w:tcW w:type="dxa" w:w="5184"/>
            <w:vAlign w:val="top"/>
          </w:tcPr>
          <w:p>
            <w:r/>
            <w:r>
              <w:rPr>
                <w:b w:val="0"/>
                <w:sz w:val="18"/>
              </w:rPr>
              <w:t>Confirmed destinations include QuikCvs, QuikNps, QuikTvs, QuikDvs, QuikDbs, QuikGps, QuikNff, QuikCoi, QuikGcoi, and QuikIssc.</w:t>
            </w:r>
          </w:p>
        </w:tc>
      </w:tr>
      <w:tr>
        <w:tc>
          <w:tcPr>
            <w:tcW w:type="dxa" w:w="5184"/>
            <w:vAlign w:val="top"/>
          </w:tcPr>
          <w:p>
            <w:r/>
            <w:r>
              <w:rPr>
                <w:b/>
                <w:sz w:val="18"/>
              </w:rPr>
              <w:t>6. Document exceptions</w:t>
            </w:r>
          </w:p>
        </w:tc>
        <w:tc>
          <w:tcPr>
            <w:tcW w:type="dxa" w:w="5184"/>
            <w:vAlign w:val="top"/>
          </w:tcPr>
          <w:p>
            <w:r/>
            <w:r>
              <w:rPr>
                <w:b w:val="0"/>
                <w:sz w:val="18"/>
              </w:rPr>
              <w:t>If rows are missing or no confirmed QLAdmin target exists, the item is documented with the exact file/table reason and supporting proof.</w:t>
            </w:r>
          </w:p>
        </w:tc>
      </w:tr>
    </w:tbl>
    <w:p>
      <w:pPr>
        <w:pStyle w:val="Heading1"/>
      </w:pPr>
      <w:r>
        <w:t>Source Files and Their Role</w:t>
      </w:r>
    </w:p>
    <w:tbl>
      <w:tblPr>
        <w:tblStyle w:val="TableGrid"/>
        <w:tblW w:type="auto" w:w="0"/>
        <w:tblLook w:firstColumn="1" w:firstRow="1" w:lastColumn="0" w:lastRow="0" w:noHBand="0" w:noVBand="1" w:val="04A0"/>
      </w:tblPr>
      <w:tblGrid>
        <w:gridCol w:w="5184"/>
        <w:gridCol w:w="5184"/>
      </w:tblGrid>
      <w:tr>
        <w:tc>
          <w:tcPr>
            <w:tcW w:type="dxa" w:w="5184"/>
            <w:vAlign w:val="top"/>
            <w:shd w:fill="E2F0D9"/>
          </w:tcPr>
          <w:p>
            <w:r/>
            <w:r>
              <w:rPr>
                <w:b/>
                <w:sz w:val="18"/>
              </w:rPr>
              <w:t>File / Table</w:t>
            </w:r>
          </w:p>
        </w:tc>
        <w:tc>
          <w:tcPr>
            <w:tcW w:type="dxa" w:w="5184"/>
            <w:vAlign w:val="top"/>
            <w:shd w:fill="E2F0D9"/>
          </w:tcPr>
          <w:p>
            <w:r/>
            <w:r>
              <w:rPr>
                <w:b/>
                <w:sz w:val="18"/>
              </w:rPr>
              <w:t>Role in Mapping</w:t>
            </w:r>
          </w:p>
        </w:tc>
      </w:tr>
      <w:tr>
        <w:tc>
          <w:tcPr>
            <w:tcW w:type="dxa" w:w="5184"/>
            <w:vAlign w:val="top"/>
          </w:tcPr>
          <w:p>
            <w:r/>
            <w:r>
              <w:rPr>
                <w:b/>
                <w:sz w:val="18"/>
              </w:rPr>
              <w:t>Rate_Table_Extract_20260427.csv</w:t>
            </w:r>
          </w:p>
        </w:tc>
        <w:tc>
          <w:tcPr>
            <w:tcW w:type="dxa" w:w="5184"/>
            <w:vAlign w:val="top"/>
          </w:tcPr>
          <w:p>
            <w:r/>
            <w:r>
              <w:rPr>
                <w:b w:val="0"/>
                <w:sz w:val="18"/>
              </w:rPr>
              <w:t>LifePRO age/duration rate-value extract. Main source for CV, NP, RV, DV, DB, NF, and other duration-based rows.</w:t>
            </w:r>
          </w:p>
        </w:tc>
      </w:tr>
      <w:tr>
        <w:tc>
          <w:tcPr>
            <w:tcW w:type="dxa" w:w="5184"/>
            <w:vAlign w:val="top"/>
          </w:tcPr>
          <w:p>
            <w:r/>
            <w:r>
              <w:rPr>
                <w:b/>
                <w:sz w:val="18"/>
              </w:rPr>
              <w:t>PAAGERAT_AttainedAge_Rates_Extract_20260428.csv</w:t>
            </w:r>
          </w:p>
        </w:tc>
        <w:tc>
          <w:tcPr>
            <w:tcW w:type="dxa" w:w="5184"/>
            <w:vAlign w:val="top"/>
          </w:tcPr>
          <w:p>
            <w:r/>
            <w:r>
              <w:rPr>
                <w:b w:val="0"/>
                <w:sz w:val="18"/>
              </w:rPr>
              <w:t>LifePRO attained-age rate-value extract. Source for PR gross premiums, NF nonforfeiture factors, U6 current COI, and U5 guaranteed COI where enabled.</w:t>
            </w:r>
          </w:p>
        </w:tc>
      </w:tr>
      <w:tr>
        <w:tc>
          <w:tcPr>
            <w:tcW w:type="dxa" w:w="5184"/>
            <w:vAlign w:val="top"/>
          </w:tcPr>
          <w:p>
            <w:r/>
            <w:r>
              <w:rPr>
                <w:b/>
                <w:sz w:val="18"/>
              </w:rPr>
              <w:t>PCOVR.csv</w:t>
            </w:r>
          </w:p>
        </w:tc>
        <w:tc>
          <w:tcPr>
            <w:tcW w:type="dxa" w:w="5184"/>
            <w:vAlign w:val="top"/>
          </w:tcPr>
          <w:p>
            <w:r/>
            <w:r>
              <w:rPr>
                <w:b w:val="0"/>
                <w:sz w:val="18"/>
              </w:rPr>
              <w:t>LifePRO coverage setup. Confirms whether a coverage ID exists as a delivered product/coverage row.</w:t>
            </w:r>
          </w:p>
        </w:tc>
      </w:tr>
      <w:tr>
        <w:tc>
          <w:tcPr>
            <w:tcW w:type="dxa" w:w="5184"/>
            <w:vAlign w:val="top"/>
          </w:tcPr>
          <w:p>
            <w:r/>
            <w:r>
              <w:rPr>
                <w:b/>
                <w:sz w:val="18"/>
              </w:rPr>
              <w:t>PCOVRSGT.csv</w:t>
            </w:r>
          </w:p>
        </w:tc>
        <w:tc>
          <w:tcPr>
            <w:tcW w:type="dxa" w:w="5184"/>
            <w:vAlign w:val="top"/>
          </w:tcPr>
          <w:p>
            <w:r/>
            <w:r>
              <w:rPr>
                <w:b w:val="0"/>
                <w:sz w:val="18"/>
              </w:rPr>
              <w:t>LifePRO coverage-to-segment setup. Shows when one product points to another segment; does not contain actual rate values.</w:t>
            </w:r>
          </w:p>
        </w:tc>
      </w:tr>
      <w:tr>
        <w:tc>
          <w:tcPr>
            <w:tcW w:type="dxa" w:w="5184"/>
            <w:vAlign w:val="top"/>
          </w:tcPr>
          <w:p>
            <w:r/>
            <w:r>
              <w:rPr>
                <w:b/>
                <w:sz w:val="18"/>
              </w:rPr>
              <w:t>Policy Form Crosswalk 5.22.26.xlsx</w:t>
            </w:r>
          </w:p>
        </w:tc>
        <w:tc>
          <w:tcPr>
            <w:tcW w:type="dxa" w:w="5184"/>
            <w:vAlign w:val="top"/>
          </w:tcPr>
          <w:p>
            <w:r/>
            <w:r>
              <w:rPr>
                <w:b w:val="0"/>
                <w:sz w:val="18"/>
              </w:rPr>
              <w:t>Maps LifePRO COVERAGE_ID values to QLAdmin PLAN codes.</w:t>
            </w:r>
          </w:p>
        </w:tc>
      </w:tr>
    </w:tbl>
    <w:p>
      <w:pPr>
        <w:pStyle w:val="Heading1"/>
      </w:pPr>
      <w:r>
        <w:t>Confirmed QLAdmin Rate Destinations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top"/>
            <w:shd w:fill="D9EAF7"/>
          </w:tcPr>
          <w:p>
            <w:r/>
            <w:r>
              <w:rPr>
                <w:b/>
                <w:sz w:val="18"/>
              </w:rPr>
              <w:t>LifePRO Type</w:t>
            </w:r>
          </w:p>
        </w:tc>
        <w:tc>
          <w:tcPr>
            <w:tcW w:type="dxa" w:w="2074"/>
            <w:vAlign w:val="top"/>
            <w:shd w:fill="D9EAF7"/>
          </w:tcPr>
          <w:p>
            <w:r/>
            <w:r>
              <w:rPr>
                <w:b/>
                <w:sz w:val="18"/>
              </w:rPr>
              <w:t>Meaning</w:t>
            </w:r>
          </w:p>
        </w:tc>
        <w:tc>
          <w:tcPr>
            <w:tcW w:type="dxa" w:w="2074"/>
            <w:vAlign w:val="top"/>
            <w:shd w:fill="D9EAF7"/>
          </w:tcPr>
          <w:p>
            <w:r/>
            <w:r>
              <w:rPr>
                <w:b/>
                <w:sz w:val="18"/>
              </w:rPr>
              <w:t>Source Extract</w:t>
            </w:r>
          </w:p>
        </w:tc>
        <w:tc>
          <w:tcPr>
            <w:tcW w:type="dxa" w:w="2074"/>
            <w:vAlign w:val="top"/>
            <w:shd w:fill="D9EAF7"/>
          </w:tcPr>
          <w:p>
            <w:r/>
            <w:r>
              <w:rPr>
                <w:b/>
                <w:sz w:val="18"/>
              </w:rPr>
              <w:t>QLAdmin Target</w:t>
            </w:r>
          </w:p>
        </w:tc>
        <w:tc>
          <w:tcPr>
            <w:tcW w:type="dxa" w:w="2074"/>
            <w:vAlign w:val="top"/>
            <w:shd w:fill="D9EAF7"/>
          </w:tcPr>
          <w:p>
            <w:r/>
            <w:r>
              <w:rPr>
                <w:b/>
                <w:sz w:val="18"/>
              </w:rPr>
              <w:t>Current Handling</w:t>
            </w:r>
          </w:p>
        </w:tc>
      </w:tr>
      <w:tr>
        <w:tc>
          <w:tcPr>
            <w:tcW w:type="dxa" w:w="2074"/>
            <w:vAlign w:val="top"/>
          </w:tcPr>
          <w:p>
            <w:r/>
            <w:r>
              <w:rPr>
                <w:b/>
                <w:sz w:val="18"/>
              </w:rPr>
              <w:t>CV</w:t>
            </w:r>
          </w:p>
        </w:tc>
        <w:tc>
          <w:tcPr>
            <w:tcW w:type="dxa" w:w="2074"/>
            <w:vAlign w:val="top"/>
          </w:tcPr>
          <w:p>
            <w:r/>
            <w:r>
              <w:rPr>
                <w:b w:val="0"/>
                <w:sz w:val="18"/>
              </w:rPr>
              <w:t>Cash values</w:t>
            </w:r>
          </w:p>
        </w:tc>
        <w:tc>
          <w:tcPr>
            <w:tcW w:type="dxa" w:w="2074"/>
            <w:vAlign w:val="top"/>
          </w:tcPr>
          <w:p>
            <w:r/>
            <w:r>
              <w:rPr>
                <w:b w:val="0"/>
                <w:sz w:val="18"/>
              </w:rPr>
              <w:t>Rate_Table</w:t>
            </w:r>
          </w:p>
        </w:tc>
        <w:tc>
          <w:tcPr>
            <w:tcW w:type="dxa" w:w="2074"/>
            <w:vAlign w:val="top"/>
          </w:tcPr>
          <w:p>
            <w:r/>
            <w:r>
              <w:rPr>
                <w:b/>
                <w:sz w:val="18"/>
              </w:rPr>
              <w:t>QuikCvs</w:t>
            </w:r>
          </w:p>
        </w:tc>
        <w:tc>
          <w:tcPr>
            <w:tcW w:type="dxa" w:w="2074"/>
            <w:vAlign w:val="top"/>
          </w:tcPr>
          <w:p>
            <w:r/>
            <w:r>
              <w:rPr>
                <w:b w:val="0"/>
                <w:sz w:val="18"/>
              </w:rPr>
              <w:t>Direct plus Issue #40 CV inheritance</w:t>
            </w:r>
          </w:p>
        </w:tc>
      </w:tr>
      <w:tr>
        <w:tc>
          <w:tcPr>
            <w:tcW w:type="dxa" w:w="2074"/>
            <w:vAlign w:val="top"/>
          </w:tcPr>
          <w:p>
            <w:r/>
            <w:r>
              <w:rPr>
                <w:b/>
                <w:sz w:val="18"/>
              </w:rPr>
              <w:t>NP</w:t>
            </w:r>
          </w:p>
        </w:tc>
        <w:tc>
          <w:tcPr>
            <w:tcW w:type="dxa" w:w="2074"/>
            <w:vAlign w:val="top"/>
          </w:tcPr>
          <w:p>
            <w:r/>
            <w:r>
              <w:rPr>
                <w:b w:val="0"/>
                <w:sz w:val="18"/>
              </w:rPr>
              <w:t>Net premiums</w:t>
            </w:r>
          </w:p>
        </w:tc>
        <w:tc>
          <w:tcPr>
            <w:tcW w:type="dxa" w:w="2074"/>
            <w:vAlign w:val="top"/>
          </w:tcPr>
          <w:p>
            <w:r/>
            <w:r>
              <w:rPr>
                <w:b w:val="0"/>
                <w:sz w:val="18"/>
              </w:rPr>
              <w:t>Rate_Table</w:t>
            </w:r>
          </w:p>
        </w:tc>
        <w:tc>
          <w:tcPr>
            <w:tcW w:type="dxa" w:w="2074"/>
            <w:vAlign w:val="top"/>
          </w:tcPr>
          <w:p>
            <w:r/>
            <w:r>
              <w:rPr>
                <w:b/>
                <w:sz w:val="18"/>
              </w:rPr>
              <w:t>QuikNps</w:t>
            </w:r>
          </w:p>
        </w:tc>
        <w:tc>
          <w:tcPr>
            <w:tcW w:type="dxa" w:w="2074"/>
            <w:vAlign w:val="top"/>
          </w:tcPr>
          <w:p>
            <w:r/>
            <w:r>
              <w:rPr>
                <w:b w:val="0"/>
                <w:sz w:val="18"/>
              </w:rPr>
              <w:t>Direct plus approved shared candidates</w:t>
            </w:r>
          </w:p>
        </w:tc>
      </w:tr>
      <w:tr>
        <w:tc>
          <w:tcPr>
            <w:tcW w:type="dxa" w:w="2074"/>
            <w:vAlign w:val="top"/>
          </w:tcPr>
          <w:p>
            <w:r/>
            <w:r>
              <w:rPr>
                <w:b/>
                <w:sz w:val="18"/>
              </w:rPr>
              <w:t>RV</w:t>
            </w:r>
          </w:p>
        </w:tc>
        <w:tc>
          <w:tcPr>
            <w:tcW w:type="dxa" w:w="2074"/>
            <w:vAlign w:val="top"/>
          </w:tcPr>
          <w:p>
            <w:r/>
            <w:r>
              <w:rPr>
                <w:b w:val="0"/>
                <w:sz w:val="18"/>
              </w:rPr>
              <w:t>Reserve factors</w:t>
            </w:r>
          </w:p>
        </w:tc>
        <w:tc>
          <w:tcPr>
            <w:tcW w:type="dxa" w:w="2074"/>
            <w:vAlign w:val="top"/>
          </w:tcPr>
          <w:p>
            <w:r/>
            <w:r>
              <w:rPr>
                <w:b w:val="0"/>
                <w:sz w:val="18"/>
              </w:rPr>
              <w:t>Rate_Table</w:t>
            </w:r>
          </w:p>
        </w:tc>
        <w:tc>
          <w:tcPr>
            <w:tcW w:type="dxa" w:w="2074"/>
            <w:vAlign w:val="top"/>
          </w:tcPr>
          <w:p>
            <w:r/>
            <w:r>
              <w:rPr>
                <w:b/>
                <w:sz w:val="18"/>
              </w:rPr>
              <w:t>QuikTvs</w:t>
            </w:r>
          </w:p>
        </w:tc>
        <w:tc>
          <w:tcPr>
            <w:tcW w:type="dxa" w:w="2074"/>
            <w:vAlign w:val="top"/>
          </w:tcPr>
          <w:p>
            <w:r/>
            <w:r>
              <w:rPr>
                <w:b w:val="0"/>
                <w:sz w:val="18"/>
              </w:rPr>
              <w:t>Direct plus approved shared candidates</w:t>
            </w:r>
          </w:p>
        </w:tc>
      </w:tr>
      <w:tr>
        <w:tc>
          <w:tcPr>
            <w:tcW w:type="dxa" w:w="2074"/>
            <w:vAlign w:val="top"/>
          </w:tcPr>
          <w:p>
            <w:r/>
            <w:r>
              <w:rPr>
                <w:b/>
                <w:sz w:val="18"/>
              </w:rPr>
              <w:t>DV</w:t>
            </w:r>
          </w:p>
        </w:tc>
        <w:tc>
          <w:tcPr>
            <w:tcW w:type="dxa" w:w="2074"/>
            <w:vAlign w:val="top"/>
          </w:tcPr>
          <w:p>
            <w:r/>
            <w:r>
              <w:rPr>
                <w:b w:val="0"/>
                <w:sz w:val="18"/>
              </w:rPr>
              <w:t>Dividends</w:t>
            </w:r>
          </w:p>
        </w:tc>
        <w:tc>
          <w:tcPr>
            <w:tcW w:type="dxa" w:w="2074"/>
            <w:vAlign w:val="top"/>
          </w:tcPr>
          <w:p>
            <w:r/>
            <w:r>
              <w:rPr>
                <w:b w:val="0"/>
                <w:sz w:val="18"/>
              </w:rPr>
              <w:t>Rate_Table</w:t>
            </w:r>
          </w:p>
        </w:tc>
        <w:tc>
          <w:tcPr>
            <w:tcW w:type="dxa" w:w="2074"/>
            <w:vAlign w:val="top"/>
          </w:tcPr>
          <w:p>
            <w:r/>
            <w:r>
              <w:rPr>
                <w:b/>
                <w:sz w:val="18"/>
              </w:rPr>
              <w:t>QuikDvs</w:t>
            </w:r>
          </w:p>
        </w:tc>
        <w:tc>
          <w:tcPr>
            <w:tcW w:type="dxa" w:w="2074"/>
            <w:vAlign w:val="top"/>
          </w:tcPr>
          <w:p>
            <w:r/>
            <w:r>
              <w:rPr>
                <w:b w:val="0"/>
                <w:sz w:val="18"/>
              </w:rPr>
              <w:t>Direct plus approved shared candidates</w:t>
            </w:r>
          </w:p>
        </w:tc>
      </w:tr>
      <w:tr>
        <w:tc>
          <w:tcPr>
            <w:tcW w:type="dxa" w:w="2074"/>
            <w:vAlign w:val="top"/>
          </w:tcPr>
          <w:p>
            <w:r/>
            <w:r>
              <w:rPr>
                <w:b/>
                <w:sz w:val="18"/>
              </w:rPr>
              <w:t>DB</w:t>
            </w:r>
          </w:p>
        </w:tc>
        <w:tc>
          <w:tcPr>
            <w:tcW w:type="dxa" w:w="2074"/>
            <w:vAlign w:val="top"/>
          </w:tcPr>
          <w:p>
            <w:r/>
            <w:r>
              <w:rPr>
                <w:b w:val="0"/>
                <w:sz w:val="18"/>
              </w:rPr>
              <w:t>Death benefits</w:t>
            </w:r>
          </w:p>
        </w:tc>
        <w:tc>
          <w:tcPr>
            <w:tcW w:type="dxa" w:w="2074"/>
            <w:vAlign w:val="top"/>
          </w:tcPr>
          <w:p>
            <w:r/>
            <w:r>
              <w:rPr>
                <w:b w:val="0"/>
                <w:sz w:val="18"/>
              </w:rPr>
              <w:t>Rate_Table</w:t>
            </w:r>
          </w:p>
        </w:tc>
        <w:tc>
          <w:tcPr>
            <w:tcW w:type="dxa" w:w="2074"/>
            <w:vAlign w:val="top"/>
          </w:tcPr>
          <w:p>
            <w:r/>
            <w:r>
              <w:rPr>
                <w:b/>
                <w:sz w:val="18"/>
              </w:rPr>
              <w:t>QuikDbs</w:t>
            </w:r>
          </w:p>
        </w:tc>
        <w:tc>
          <w:tcPr>
            <w:tcW w:type="dxa" w:w="2074"/>
            <w:vAlign w:val="top"/>
          </w:tcPr>
          <w:p>
            <w:r/>
            <w:r>
              <w:rPr>
                <w:b w:val="0"/>
                <w:sz w:val="18"/>
              </w:rPr>
              <w:t>Direct plus approved shared candidates</w:t>
            </w:r>
          </w:p>
        </w:tc>
      </w:tr>
      <w:tr>
        <w:tc>
          <w:tcPr>
            <w:tcW w:type="dxa" w:w="2074"/>
            <w:vAlign w:val="top"/>
          </w:tcPr>
          <w:p>
            <w:r/>
            <w:r>
              <w:rPr>
                <w:b/>
                <w:sz w:val="18"/>
              </w:rPr>
              <w:t>PR</w:t>
            </w:r>
          </w:p>
        </w:tc>
        <w:tc>
          <w:tcPr>
            <w:tcW w:type="dxa" w:w="2074"/>
            <w:vAlign w:val="top"/>
          </w:tcPr>
          <w:p>
            <w:r/>
            <w:r>
              <w:rPr>
                <w:b w:val="0"/>
                <w:sz w:val="18"/>
              </w:rPr>
              <w:t>Gross premiums</w:t>
            </w:r>
          </w:p>
        </w:tc>
        <w:tc>
          <w:tcPr>
            <w:tcW w:type="dxa" w:w="2074"/>
            <w:vAlign w:val="top"/>
          </w:tcPr>
          <w:p>
            <w:r/>
            <w:r>
              <w:rPr>
                <w:b w:val="0"/>
                <w:sz w:val="18"/>
              </w:rPr>
              <w:t>Rate_Table / PAAGERAT</w:t>
            </w:r>
          </w:p>
        </w:tc>
        <w:tc>
          <w:tcPr>
            <w:tcW w:type="dxa" w:w="2074"/>
            <w:vAlign w:val="top"/>
          </w:tcPr>
          <w:p>
            <w:r/>
            <w:r>
              <w:rPr>
                <w:b/>
                <w:sz w:val="18"/>
              </w:rPr>
              <w:t>QuikGps</w:t>
            </w:r>
          </w:p>
        </w:tc>
        <w:tc>
          <w:tcPr>
            <w:tcW w:type="dxa" w:w="2074"/>
            <w:vAlign w:val="top"/>
          </w:tcPr>
          <w:p>
            <w:r/>
            <w:r>
              <w:rPr>
                <w:b w:val="0"/>
                <w:sz w:val="18"/>
              </w:rPr>
              <w:t>Direct PAAGERAT plus approved shared candidates</w:t>
            </w:r>
          </w:p>
        </w:tc>
      </w:tr>
      <w:tr>
        <w:tc>
          <w:tcPr>
            <w:tcW w:type="dxa" w:w="2074"/>
            <w:vAlign w:val="top"/>
          </w:tcPr>
          <w:p>
            <w:r/>
            <w:r>
              <w:rPr>
                <w:b/>
                <w:sz w:val="18"/>
              </w:rPr>
              <w:t>NF</w:t>
            </w:r>
          </w:p>
        </w:tc>
        <w:tc>
          <w:tcPr>
            <w:tcW w:type="dxa" w:w="2074"/>
            <w:vAlign w:val="top"/>
          </w:tcPr>
          <w:p>
            <w:r/>
            <w:r>
              <w:rPr>
                <w:b w:val="0"/>
                <w:sz w:val="18"/>
              </w:rPr>
              <w:t>Nonforfeiture factors</w:t>
            </w:r>
          </w:p>
        </w:tc>
        <w:tc>
          <w:tcPr>
            <w:tcW w:type="dxa" w:w="2074"/>
            <w:vAlign w:val="top"/>
          </w:tcPr>
          <w:p>
            <w:r/>
            <w:r>
              <w:rPr>
                <w:b w:val="0"/>
                <w:sz w:val="18"/>
              </w:rPr>
              <w:t>Rate_Table / PAAGERAT</w:t>
            </w:r>
          </w:p>
        </w:tc>
        <w:tc>
          <w:tcPr>
            <w:tcW w:type="dxa" w:w="2074"/>
            <w:vAlign w:val="top"/>
          </w:tcPr>
          <w:p>
            <w:r/>
            <w:r>
              <w:rPr>
                <w:b/>
                <w:sz w:val="18"/>
              </w:rPr>
              <w:t>QuikNff</w:t>
            </w:r>
          </w:p>
        </w:tc>
        <w:tc>
          <w:tcPr>
            <w:tcW w:type="dxa" w:w="2074"/>
            <w:vAlign w:val="top"/>
          </w:tcPr>
          <w:p>
            <w:r/>
            <w:r>
              <w:rPr>
                <w:b w:val="0"/>
                <w:sz w:val="18"/>
              </w:rPr>
              <w:t>Direct plus approved shared candidates</w:t>
            </w:r>
          </w:p>
        </w:tc>
      </w:tr>
      <w:tr>
        <w:tc>
          <w:tcPr>
            <w:tcW w:type="dxa" w:w="2074"/>
            <w:vAlign w:val="top"/>
          </w:tcPr>
          <w:p>
            <w:r/>
            <w:r>
              <w:rPr>
                <w:b/>
                <w:sz w:val="18"/>
              </w:rPr>
              <w:t>U6</w:t>
            </w:r>
          </w:p>
        </w:tc>
        <w:tc>
          <w:tcPr>
            <w:tcW w:type="dxa" w:w="2074"/>
            <w:vAlign w:val="top"/>
          </w:tcPr>
          <w:p>
            <w:r/>
            <w:r>
              <w:rPr>
                <w:b w:val="0"/>
                <w:sz w:val="18"/>
              </w:rPr>
              <w:t>Current COI</w:t>
            </w:r>
          </w:p>
        </w:tc>
        <w:tc>
          <w:tcPr>
            <w:tcW w:type="dxa" w:w="2074"/>
            <w:vAlign w:val="top"/>
          </w:tcPr>
          <w:p>
            <w:r/>
            <w:r>
              <w:rPr>
                <w:b w:val="0"/>
                <w:sz w:val="18"/>
              </w:rPr>
              <w:t>PAAGERAT</w:t>
            </w:r>
          </w:p>
        </w:tc>
        <w:tc>
          <w:tcPr>
            <w:tcW w:type="dxa" w:w="2074"/>
            <w:vAlign w:val="top"/>
          </w:tcPr>
          <w:p>
            <w:r/>
            <w:r>
              <w:rPr>
                <w:b/>
                <w:sz w:val="18"/>
              </w:rPr>
              <w:t>QuikCoi</w:t>
            </w:r>
          </w:p>
        </w:tc>
        <w:tc>
          <w:tcPr>
            <w:tcW w:type="dxa" w:w="2074"/>
            <w:vAlign w:val="top"/>
          </w:tcPr>
          <w:p>
            <w:r/>
            <w:r>
              <w:rPr>
                <w:b w:val="0"/>
                <w:sz w:val="18"/>
              </w:rPr>
              <w:t>Enabled for confirmed ISWL plans</w:t>
            </w:r>
          </w:p>
        </w:tc>
      </w:tr>
      <w:tr>
        <w:tc>
          <w:tcPr>
            <w:tcW w:type="dxa" w:w="2074"/>
            <w:vAlign w:val="top"/>
          </w:tcPr>
          <w:p>
            <w:r/>
            <w:r>
              <w:rPr>
                <w:b/>
                <w:sz w:val="18"/>
              </w:rPr>
              <w:t>U5</w:t>
            </w:r>
          </w:p>
        </w:tc>
        <w:tc>
          <w:tcPr>
            <w:tcW w:type="dxa" w:w="2074"/>
            <w:vAlign w:val="top"/>
          </w:tcPr>
          <w:p>
            <w:r/>
            <w:r>
              <w:rPr>
                <w:b w:val="0"/>
                <w:sz w:val="18"/>
              </w:rPr>
              <w:t>Guaranteed COI</w:t>
            </w:r>
          </w:p>
        </w:tc>
        <w:tc>
          <w:tcPr>
            <w:tcW w:type="dxa" w:w="2074"/>
            <w:vAlign w:val="top"/>
          </w:tcPr>
          <w:p>
            <w:r/>
            <w:r>
              <w:rPr>
                <w:b w:val="0"/>
                <w:sz w:val="18"/>
              </w:rPr>
              <w:t>PAAGERAT</w:t>
            </w:r>
          </w:p>
        </w:tc>
        <w:tc>
          <w:tcPr>
            <w:tcW w:type="dxa" w:w="2074"/>
            <w:vAlign w:val="top"/>
          </w:tcPr>
          <w:p>
            <w:r/>
            <w:r>
              <w:rPr>
                <w:b/>
                <w:sz w:val="18"/>
              </w:rPr>
              <w:t>QuikGcoi</w:t>
            </w:r>
          </w:p>
        </w:tc>
        <w:tc>
          <w:tcPr>
            <w:tcW w:type="dxa" w:w="2074"/>
            <w:vAlign w:val="top"/>
          </w:tcPr>
          <w:p>
            <w:r/>
            <w:r>
              <w:rPr>
                <w:b w:val="0"/>
                <w:sz w:val="18"/>
              </w:rPr>
              <w:t>Enabled for confirmed ISWL plans</w:t>
            </w:r>
          </w:p>
        </w:tc>
      </w:tr>
      <w:tr>
        <w:tc>
          <w:tcPr>
            <w:tcW w:type="dxa" w:w="2074"/>
            <w:vAlign w:val="top"/>
          </w:tcPr>
          <w:p>
            <w:r/>
            <w:r>
              <w:rPr>
                <w:b/>
                <w:sz w:val="18"/>
              </w:rPr>
              <w:t>SL</w:t>
            </w:r>
          </w:p>
        </w:tc>
        <w:tc>
          <w:tcPr>
            <w:tcW w:type="dxa" w:w="2074"/>
            <w:vAlign w:val="top"/>
          </w:tcPr>
          <w:p>
            <w:r/>
            <w:r>
              <w:rPr>
                <w:b w:val="0"/>
                <w:sz w:val="18"/>
              </w:rPr>
              <w:t>Surrender charge schedule</w:t>
            </w:r>
          </w:p>
        </w:tc>
        <w:tc>
          <w:tcPr>
            <w:tcW w:type="dxa" w:w="2074"/>
            <w:vAlign w:val="top"/>
          </w:tcPr>
          <w:p>
            <w:r/>
            <w:r>
              <w:rPr>
                <w:b w:val="0"/>
                <w:sz w:val="18"/>
              </w:rPr>
              <w:t>Rate_Table</w:t>
            </w:r>
          </w:p>
        </w:tc>
        <w:tc>
          <w:tcPr>
            <w:tcW w:type="dxa" w:w="2074"/>
            <w:vAlign w:val="top"/>
          </w:tcPr>
          <w:p>
            <w:r/>
            <w:r>
              <w:rPr>
                <w:b/>
                <w:sz w:val="18"/>
              </w:rPr>
              <w:t>QuikIssc</w:t>
            </w:r>
          </w:p>
        </w:tc>
        <w:tc>
          <w:tcPr>
            <w:tcW w:type="dxa" w:w="2074"/>
            <w:vAlign w:val="top"/>
          </w:tcPr>
          <w:p>
            <w:r/>
            <w:r>
              <w:rPr>
                <w:b w:val="0"/>
                <w:sz w:val="18"/>
              </w:rPr>
              <w:t>Enabled through ISWL schedule loader</w:t>
            </w:r>
          </w:p>
        </w:tc>
      </w:tr>
    </w:tbl>
    <w:p>
      <w:pPr>
        <w:pStyle w:val="Heading1"/>
      </w:pPr>
      <w:r>
        <w:t>Shared / Inherited Segment Handling</w:t>
      </w:r>
    </w:p>
    <w:p>
      <w:r>
        <w:t>The shared-loader path is manifest-gated. Only candidates explicitly listed in approved_shared_rate_candidates.csv are loaded.</w:t>
      </w:r>
    </w:p>
    <w:p>
      <w:pPr>
        <w:pStyle w:val="ListBullet"/>
      </w:pPr>
      <w:r>
        <w:t>Examples of source segments: 659 CEN II, L14, SAL OL, L10 LP95, 670 GL85-8, 961 ME65, 665 STME95, and 980 END65.</w:t>
      </w:r>
    </w:p>
    <w:p>
      <w:pPr>
        <w:pStyle w:val="ListBullet"/>
      </w:pPr>
      <w:r>
        <w:t>The source segment supplies the rate value.</w:t>
      </w:r>
    </w:p>
    <w:p>
      <w:pPr>
        <w:pStyle w:val="ListBullet"/>
      </w:pPr>
      <w:r>
        <w:t>The inheriting QLAdmin plan receives the output row.</w:t>
      </w:r>
    </w:p>
    <w:p>
      <w:pPr>
        <w:pStyle w:val="ListBullet"/>
      </w:pPr>
      <w:r>
        <w:t>Current shared-loader result: 43 manifest entries, 137,641 emitted rows, 0 collisions, and 3,872 rows held for segmentation review.</w:t>
      </w:r>
    </w:p>
    <w:p>
      <w:pPr>
        <w:pStyle w:val="Heading1"/>
      </w:pPr>
      <w:r>
        <w:t>Exception and Proof Path</w:t>
      </w:r>
    </w:p>
    <w:p>
      <w:r>
        <w:t>If a client screenshot shows a rate but the delivered extract does not contain the row, the converter cannot load it. The proof checks exact IDs and rate types in Rate_Table, PAAGERAT, PCOVR, PCOVRSGT, and raw file bytes.</w:t>
      </w:r>
    </w:p>
    <w:p>
      <w:pPr>
        <w:pStyle w:val="ListBullet"/>
      </w:pPr>
      <w:r>
        <w:t>L01 10Y NP: screenshots show the rate, but delivered Rate_Table and PAAGERAT extracts do not contain exact L01 10Y NP rows.</w:t>
      </w:r>
    </w:p>
    <w:p>
      <w:pPr>
        <w:pStyle w:val="ListBullet"/>
      </w:pPr>
      <w:r>
        <w:t>L10 LP9595: LifePRO setup references the ID, but delivered Rate_Table and PAAGERAT extracts contain no exact L10 LP9595 rate rows.</w:t>
      </w:r>
    </w:p>
    <w:p>
      <w:pPr>
        <w:pStyle w:val="Heading1"/>
      </w:pPr>
      <w:r>
        <w:t>Meeting Message</w:t>
      </w:r>
    </w:p>
    <w:p>
      <w:r>
        <w:t>The rate load is now being managed as a completeness process, not just a converter process. For every source row we have, we either load it to the confirmed QLAdmin rate table, load it through an approved shared segment relationship, or document exactly why it cannot be loaded yet.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