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59" w:lineRule="auto"/>
      </w:pPr>
      <w:r>
        <w:rPr>
          <w:rFonts w:ascii="Calibri" w:hAnsi="Calibri" w:cs="Calibri" w:eastAsia="Calibri"/>
          <w:b/>
          <w:i w:val="0"/>
          <w:color w:val="1F3A5F"/>
          <w:sz w:val="26"/>
        </w:rPr>
        <w:t>1. Opening Status</w:t>
      </w:r>
    </w:p>
    <w:p>
      <w:pPr>
        <w:spacing w:before="40" w:after="120" w:line="259" w:lineRule="auto"/>
      </w:pPr>
      <w:r>
        <w:rPr>
          <w:rFonts w:ascii="Calibri" w:hAnsi="Calibri" w:cs="Calibri" w:eastAsia="Calibri"/>
          <w:b w:val="0"/>
          <w:i w:val="0"/>
          <w:color w:val="2F2F2F"/>
          <w:sz w:val="22"/>
        </w:rPr>
        <w:t>Since September 21, the log adds items 178, 182, 183, 184, and 185. The September 30 notes say a negative LifePRO loan balance now comes across instead of loading as zero, and that Eric was testing that day. The same notes say reserve rates for the 658 and 659 plans are loaded, and that CSO actuarial is verifying the interest-sensitive reserves. The duration shift on those plans is closed under 181.</w:t>
      </w:r>
    </w:p>
    <w:tbl>
      <w:tblPr>
        <w:tblStyle w:val="TableGrid"/>
        <w:tblW w:type="dxa" w:w="9503"/>
        <w:jc w:val="center"/>
        <w:tblLayout w:type="fixed"/>
        <w:tblLook w:firstColumn="1" w:firstRow="1" w:lastColumn="0" w:lastRow="0" w:noHBand="0" w:noVBand="1" w:val="04A0"/>
      </w:tblPr>
      <w:tblGrid>
        <w:gridCol w:w="2880"/>
        <w:gridCol w:w="6623"/>
      </w:tblGrid>
      <w:tr>
        <w:trPr>
          <w:tblHeader/>
          <w:cantSplit/>
        </w:trPr>
        <w:tc>
          <w:tcPr>
            <w:tcW w:type="dxa" w:w="2880"/>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Item</w:t>
            </w:r>
          </w:p>
        </w:tc>
        <w:tc>
          <w:tcPr>
            <w:tcW w:type="dxa" w:w="6623"/>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Detail</w:t>
            </w:r>
          </w:p>
        </w:tc>
      </w:tr>
      <w:tr>
        <w:trPr>
          <w:cantSplit/>
        </w:trPr>
        <w:tc>
          <w:tcPr>
            <w:tcW w:type="dxa" w:w="2880"/>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Moved since last meeting</w:t>
            </w:r>
          </w:p>
        </w:tc>
        <w:tc>
          <w:tcPr>
            <w:tcW w:type="dxa" w:w="6623"/>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Negative loan balances now load, and Eric was testing the loan amounts and the overloan letters on September 30. New open items are 178 (Banker's 30/360), 182 (death-claim return of premium), 183 (ISWL policy fee), 184 (ISWL account roll-forward), and 185 (ET spreadsheet). Closes after September 21 are in the row below.</w:t>
            </w:r>
          </w:p>
        </w:tc>
      </w:tr>
      <w:tr>
        <w:trPr>
          <w:cantSplit/>
        </w:trPr>
        <w:tc>
          <w:tcPr>
            <w:tcW w:type="dxa" w:w="2880"/>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Today’s focus</w:t>
            </w:r>
          </w:p>
        </w:tc>
        <w:tc>
          <w:tcPr>
            <w:tcW w:type="dxa" w:w="6623"/>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The loan-balance test and the cash-value question on 9010811343C. Reserve items that still need CSO. The claims interest recommendation. The new death-claim, policy-fee, and ET spreadsheet items.</w:t>
            </w:r>
          </w:p>
        </w:tc>
      </w:tr>
      <w:tr>
        <w:trPr>
          <w:cantSplit/>
        </w:trPr>
        <w:tc>
          <w:tcPr>
            <w:tcW w:type="dxa" w:w="2880"/>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Closed since the last agenda</w:t>
            </w:r>
          </w:p>
        </w:tc>
        <w:tc>
          <w:tcPr>
            <w:tcW w:type="dxa" w:w="6623"/>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September 22: 108H (NFO election kept as stored), 128 (no modal-premium change; leftovers are the items still open), 136 (1L17SP will not use guideline premium amounts), 148 (9011284087C loaded at 100 units), 152 (rider kept out of the base premium-per-unit), and 172 (shared rate keys). September 28: 173 (negative ISWL fund balances), 174 (pending death stays editable), 175 (reserve category on graded death and L17), and 176 (projected cash value on 9010715467C). September 30: 179 (female dividend rates on 221END, 196065, and 1960OL) and 181 (658/659 duration shift). October 3: 53 (correspondence loaded for 9010143726C).</w:t>
            </w:r>
          </w:p>
        </w:tc>
      </w:tr>
    </w:tbl>
    <w:p>
      <w:pPr>
        <w:spacing w:before="0" w:after="40" w:line="259" w:lineRule="auto"/>
      </w:pPr>
    </w:p>
    <w:p>
      <w:pPr>
        <w:spacing w:before="240" w:after="80" w:line="259" w:lineRule="auto"/>
      </w:pPr>
      <w:r>
        <w:rPr>
          <w:rFonts w:ascii="Calibri" w:hAnsi="Calibri" w:cs="Calibri" w:eastAsia="Calibri"/>
          <w:b/>
          <w:i w:val="0"/>
          <w:color w:val="1F3A5F"/>
          <w:sz w:val="26"/>
        </w:rPr>
        <w:t>2. Loans, Cash Value, and Banker's Interest</w:t>
      </w:r>
    </w:p>
    <w:p>
      <w:pPr>
        <w:spacing w:before="40" w:after="120" w:line="259" w:lineRule="auto"/>
      </w:pPr>
      <w:r>
        <w:rPr>
          <w:rFonts w:ascii="Calibri" w:hAnsi="Calibri" w:cs="Calibri" w:eastAsia="Calibri"/>
          <w:b w:val="0"/>
          <w:i w:val="0"/>
          <w:color w:val="2F2F2F"/>
          <w:sz w:val="22"/>
        </w:rPr>
        <w:t>These items are still open because the loan balance, the cash value, and the Banker's interest method do not yet match. They are on today’s agenda because the September 30 notes put the loan test with Eric and left the cash-value and Banker's questions unanswered.</w:t>
      </w:r>
    </w:p>
    <w:tbl>
      <w:tblPr>
        <w:tblStyle w:val="TableGrid"/>
        <w:tblW w:type="dxa" w:w="9504"/>
        <w:jc w:val="center"/>
        <w:tblLayout w:type="fixed"/>
        <w:tblLook w:firstColumn="1" w:firstRow="1" w:lastColumn="0" w:lastRow="0" w:noHBand="0" w:noVBand="1" w:val="04A0"/>
      </w:tblPr>
      <w:tblGrid>
        <w:gridCol w:w="2232"/>
        <w:gridCol w:w="4536"/>
        <w:gridCol w:w="2736"/>
      </w:tblGrid>
      <w:tr>
        <w:trPr>
          <w:tblHeader/>
          <w:cantSplit/>
        </w:trPr>
        <w:tc>
          <w:tcPr>
            <w:tcW w:type="dxa" w:w="2232"/>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Issue</w:t>
            </w:r>
          </w:p>
        </w:tc>
        <w:tc>
          <w:tcPr>
            <w:tcW w:type="dxa" w:w="45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Where it stands</w:t>
            </w:r>
          </w:p>
        </w:tc>
        <w:tc>
          <w:tcPr>
            <w:tcW w:type="dxa" w:w="27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Look at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162 Policy loan amounts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CSO Testing. The September 30 note says a negative LifePRO loan balance was loaded as zero, and that is no longer done. The negative balance now comes across. Eric was testing that day. It may clear loan amounts that were not matching.</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9010928498C. LifePRO $7,668.79. QLAdmin $7,810.61.</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163 Incorrect cash value</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Discovery- CSO/QLA. The September 30 note leaves one question: should the cash value be the full account, or the account after the surrender charge. LifePRO shows about $20,221. The amount after the surrender charge loaded at about -$39,431. The note says the LifePRO screens do not match the data we have, so those screens are in review.</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9010811343C.</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164 Overloan letters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CSO Testing. The September 30 note says this is the same loan change as 162. A negative balance is no longer loaded as zero. Eric was testing that day. That may stop letters that say the loan is bigger than the cash value.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9010928498C and 9010811343C.</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165 Loan interest crediting</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Discovery-development. The log says the Banker's examples are in hand and Sujitha is researching. It is still waiting on Eric’s calculation for the Banker's 30/360 method. The note says this applies to loan interest and to interest on the fund balance.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 policy number is in the log note.</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178 Banker's 30/360 ISWL interest</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Not on the September 21 agenda. Raised September 28. Status is Active. The note says this is logged only, with no conversion work. Eric had already confirmed that Banker's 30/360 applies to loan interest and to interest on the fund balance. Still needed: an ISWL policy with a monthly anniversary on the 29th, 30th, or 31st, preferably one that crosses February. Still open: whether interest is before or after monthly deductions, and rounding at each step.</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The log cites ISWL Statement 2.pdf, not a policy number. Beginning $9,724.98, cost of insurance $545.18, monthly charges $24.96, interest $425.97, ending $9,580.81.</w:t>
            </w:r>
          </w:p>
        </w:tc>
      </w:tr>
    </w:tbl>
    <w:p>
      <w:pPr>
        <w:spacing w:before="0" w:after="40" w:line="259" w:lineRule="auto"/>
      </w:pPr>
    </w:p>
    <w:p>
      <w:pPr>
        <w:spacing w:before="240" w:after="80" w:line="259" w:lineRule="auto"/>
      </w:pPr>
      <w:r>
        <w:rPr>
          <w:rFonts w:ascii="Calibri" w:hAnsi="Calibri" w:cs="Calibri" w:eastAsia="Calibri"/>
          <w:b/>
          <w:i w:val="0"/>
          <w:color w:val="1F3A5F"/>
          <w:sz w:val="26"/>
        </w:rPr>
        <w:t>3. Valuation and Reserves</w:t>
      </w:r>
    </w:p>
    <w:p>
      <w:pPr>
        <w:spacing w:before="40" w:after="120" w:line="259" w:lineRule="auto"/>
      </w:pPr>
      <w:r>
        <w:rPr>
          <w:rFonts w:ascii="Calibri" w:hAnsi="Calibri" w:cs="Calibri" w:eastAsia="Calibri"/>
          <w:b w:val="0"/>
          <w:i w:val="0"/>
          <w:color w:val="2F2F2F"/>
          <w:sz w:val="22"/>
        </w:rPr>
        <w:t>These items are the valuation comparison and the reserve gaps that are still open on the log. They are on today’s agenda because CSO still has to confirm units, fees, suspended billing, value per unit, and the reserve methods that are not loaded.</w:t>
      </w:r>
    </w:p>
    <w:tbl>
      <w:tblPr>
        <w:tblStyle w:val="TableGrid"/>
        <w:tblW w:type="dxa" w:w="9504"/>
        <w:jc w:val="center"/>
        <w:tblLayout w:type="fixed"/>
        <w:tblLook w:firstColumn="1" w:firstRow="1" w:lastColumn="0" w:lastRow="0" w:noHBand="0" w:noVBand="1" w:val="04A0"/>
      </w:tblPr>
      <w:tblGrid>
        <w:gridCol w:w="2232"/>
        <w:gridCol w:w="4536"/>
        <w:gridCol w:w="2736"/>
      </w:tblGrid>
      <w:tr>
        <w:trPr>
          <w:tblHeader/>
          <w:cantSplit/>
        </w:trPr>
        <w:tc>
          <w:tcPr>
            <w:tcW w:type="dxa" w:w="2232"/>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Issue</w:t>
            </w:r>
          </w:p>
        </w:tc>
        <w:tc>
          <w:tcPr>
            <w:tcW w:type="dxa" w:w="45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Where it stands</w:t>
            </w:r>
          </w:p>
        </w:tc>
        <w:tc>
          <w:tcPr>
            <w:tcW w:type="dxa" w:w="27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Look at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147 Units vs current death benefit</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Discovery. The September 22 note says reduced paid-up units are already fixed under 143. On the 08/31 LifePRO file this still affects 62 policies: 5 extended term where the current death benefit is lower than the face, and 57 paid-up 668 single-premium policies where the current death benefit is higher than the face. Asked Eric whether to restate the extended-term units to the current death benefit, and whether the 668 units stay at the original face.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9010766284C, 50 units and $41,232.48 death benefit. 9010826903C, 21.92502 units and $37,449.75 death benefit.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150 Multiple insureds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Pending QLA Dev. The September 22 note says this affects 77 SAL Modified Life policies with two insureds. The first coverage is reduced paid-up with 0 units. The real coverage is on the second insured and is already loaded at $1,000 per unit. The valuation comparison reads the empty first record, so it shows $0. The question for Robert is to use the second insured’s coverage, the record that has the units.</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901353D732C, second insured 0.297 units ($297). 9014059C, 0.604 units ($604).</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153 Valuation modal includes the fee</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Pending QLA Dev. The latest note is August 24. QLAdmin is adding the policy fee back after it was removed from the billed premium on the conversion. Do not reopen 139. The question for Sujitha is whether the ISWL plan expense charge is being added into the modal premium and the reserve on the valuation run.</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9010713707 loads at $103.50 annual and the valuation file shows $128.50. 9010715467 loads at $1,104.00 and the valuation file shows $1,129.00.</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154 Bill hold and APL</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Active. The September 22 note says Robert was emailed. On the 6/30 valuation, 22 interest-sensitive policies with billing suspended and premium ceased show $0 gross premium due in LifePRO and about $17,971 due on the valuation file, equal to the missed annual premiums. Every fund is negative, and the annual premium already matches. Asked whether gross premium due should stay at zero while billing is suspended.</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9010849882, paid to 9/1/2019, annual $611.50, valuation due $3,669, fund -$2,223.70. 9010765198, paid to 10/1/2019, annual about $492, valuation due $2,953.92, fund -$1,917.07.</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155 Value per unit</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CSO Testing. The September 30 note says the valuation value per unit now shows $1,000 in the last load. It is with CSO to confirm on their valuation.</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9010713704C is $45,551.94 at 6/19/2026.</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169 Missing reserves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Discovery- CSO/QLA. The September 30 note says 667 ART can now calculate a reserve, and asks CSO to confirm three policies. Still needed: the mortality table, interest rate, and reserve method for 619 spouse paid-up and the two 1596 accidental-death riders. The note says LifePRO is holding about $406 total on those. LifePRO shows no reserve, and we show one, on the 1595 waiver, the 1596-667 accidental-death rider, and the SAL accidental-death rider. CSO needs to say if those should be zero. The 658/659 duration shift is the closed item 181, not this row.</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9010800356C $8,239.00. 9010768802C $490.35. 9010764248C $474.50.</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170 Reserves do not match</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Active. The latest note is September 17, and it says this is not closed. 668 SPWL should hold the greater of the table factor times units and the cash value. Cash value is already on the policy. Waiting on QL for how Admin applies that floor. 670 and 679 stay with the extended-term samples. The SAL ordinary-life samples still need a current valuation now that they are Active.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9010826903C, LifePRO $35,406 and QL $15,227. Extended term: 9010576755C and 9010947226C. SAL ordinary life: 901122D991C, 901ML8171C, and 901ML8522C.</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171 ISWL reserve calculation</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CSO Testing. The September 30 note says the CSO actuarial team is verifying. On the 9/2 valuation, premium-paying interest-sensitive whole life was about $5.3 million too high. On the 6/30 valuation run on September 27, that same group is $59,410 too high, on about $16.9 million of LifePRO reserve. The full interest-sensitive book went from about $5.2 million too high to about $91,000 too low.</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9010779727C is $128,000 in LifePRO and $127,250 in QLAdmin.</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183 ISWL policy fee</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Not on the September 21 agenda. Raised September 30. Status is Active. The log says to add the policy fee back to the premium and remove the policy expense from the valuation file.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 policy number is on this row. The fee examples are on 153.</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184 ISWL account roll-forward</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Not on the September 21 agenda. Raised September 30. Status is Active. The note says this is logged only. Convert the June 30 ISWL package, process anniversary through August 31, and validate the account balances against the August 31 LifePRO values. No conversion change is in this item.</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 policy example is in the note.</w:t>
            </w:r>
          </w:p>
        </w:tc>
      </w:tr>
    </w:tbl>
    <w:p>
      <w:pPr>
        <w:spacing w:before="0" w:after="40" w:line="259" w:lineRule="auto"/>
      </w:pPr>
    </w:p>
    <w:p>
      <w:pPr>
        <w:spacing w:before="240" w:after="80" w:line="259" w:lineRule="auto"/>
      </w:pPr>
      <w:r>
        <w:rPr>
          <w:rFonts w:ascii="Calibri" w:hAnsi="Calibri" w:cs="Calibri" w:eastAsia="Calibri"/>
          <w:b/>
          <w:i w:val="0"/>
          <w:color w:val="1F3A5F"/>
          <w:sz w:val="26"/>
        </w:rPr>
        <w:t>4. Claims</w:t>
      </w:r>
    </w:p>
    <w:p>
      <w:pPr>
        <w:spacing w:before="40" w:after="120" w:line="259" w:lineRule="auto"/>
      </w:pPr>
      <w:r>
        <w:rPr>
          <w:rFonts w:ascii="Calibri" w:hAnsi="Calibri" w:cs="Calibri" w:eastAsia="Calibri"/>
          <w:b w:val="0"/>
          <w:i w:val="0"/>
          <w:color w:val="2F2F2F"/>
          <w:sz w:val="22"/>
        </w:rPr>
        <w:t>Two claim items need time today. One is a recommendation on how death-claim interest should be entered. The other is new: return of premium is not coming through on the death benefit.</w:t>
      </w:r>
    </w:p>
    <w:tbl>
      <w:tblPr>
        <w:tblStyle w:val="TableGrid"/>
        <w:tblW w:type="dxa" w:w="9504"/>
        <w:jc w:val="center"/>
        <w:tblLayout w:type="fixed"/>
        <w:tblLook w:firstColumn="1" w:firstRow="1" w:lastColumn="0" w:lastRow="0" w:noHBand="0" w:noVBand="1" w:val="04A0"/>
      </w:tblPr>
      <w:tblGrid>
        <w:gridCol w:w="2232"/>
        <w:gridCol w:w="4536"/>
        <w:gridCol w:w="2736"/>
      </w:tblGrid>
      <w:tr>
        <w:trPr>
          <w:tblHeader/>
          <w:cantSplit/>
        </w:trPr>
        <w:tc>
          <w:tcPr>
            <w:tcW w:type="dxa" w:w="2232"/>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Issue</w:t>
            </w:r>
          </w:p>
        </w:tc>
        <w:tc>
          <w:tcPr>
            <w:tcW w:type="dxa" w:w="45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Where it stands</w:t>
            </w:r>
          </w:p>
        </w:tc>
        <w:tc>
          <w:tcPr>
            <w:tcW w:type="dxa" w:w="27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Look at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135 Claims interest by state</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and still a CSO Decision. The September 30 note is a recommendation, and it is not built. The examiner enters the interest rate on the death claim and leaves the interest amount blank. Calculate, with Paid in Full selected, figures interest from the date of death to the date paid. The base is the net death benefit. The examiner can still change the amount. Storing interest rates by state is not recommended. If CSO has a state requirement this does not cover, they should send it.</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 policy example is in the note.</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182 Death claim return of premium</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Not on the September 21 agenda. Raised September 30. Status is Active. Death-claim paid amounts are not pulling in return of premium. The row has no note after the description.</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9010969653C, death on 7/29/2026, paid to 3/2/2027. 9010771349C, death on 7/18/2026, paid to 10/1/2026.</w:t>
            </w:r>
          </w:p>
        </w:tc>
      </w:tr>
    </w:tbl>
    <w:p>
      <w:pPr>
        <w:spacing w:before="0" w:after="40" w:line="259" w:lineRule="auto"/>
      </w:pPr>
    </w:p>
    <w:p>
      <w:pPr>
        <w:spacing w:before="240" w:after="80" w:line="259" w:lineRule="auto"/>
      </w:pPr>
      <w:r>
        <w:rPr>
          <w:rFonts w:ascii="Calibri" w:hAnsi="Calibri" w:cs="Calibri" w:eastAsia="Calibri"/>
          <w:b/>
          <w:i w:val="0"/>
          <w:color w:val="1F3A5F"/>
          <w:sz w:val="26"/>
        </w:rPr>
        <w:t>5. Client Checks Still Open</w:t>
      </w:r>
    </w:p>
    <w:p>
      <w:pPr>
        <w:spacing w:before="40" w:after="120" w:line="259" w:lineRule="auto"/>
      </w:pPr>
      <w:r>
        <w:rPr>
          <w:rFonts w:ascii="Calibri" w:hAnsi="Calibri" w:cs="Calibri" w:eastAsia="Calibri"/>
          <w:b w:val="0"/>
          <w:i w:val="0"/>
          <w:color w:val="2F2F2F"/>
          <w:sz w:val="22"/>
        </w:rPr>
        <w:t>These items are released, or waiting on the client, and the log has not closed them. They are on today’s agenda only because the log still asks for a client check before they can be closed.</w:t>
      </w:r>
    </w:p>
    <w:tbl>
      <w:tblPr>
        <w:tblStyle w:val="TableGrid"/>
        <w:tblW w:type="dxa" w:w="9504"/>
        <w:jc w:val="center"/>
        <w:tblLayout w:type="fixed"/>
        <w:tblLook w:firstColumn="1" w:firstRow="1" w:lastColumn="0" w:lastRow="0" w:noHBand="0" w:noVBand="1" w:val="04A0"/>
      </w:tblPr>
      <w:tblGrid>
        <w:gridCol w:w="2232"/>
        <w:gridCol w:w="4536"/>
        <w:gridCol w:w="2736"/>
      </w:tblGrid>
      <w:tr>
        <w:trPr>
          <w:tblHeader/>
          <w:cantSplit/>
        </w:trPr>
        <w:tc>
          <w:tcPr>
            <w:tcW w:type="dxa" w:w="2232"/>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Issue</w:t>
            </w:r>
          </w:p>
        </w:tc>
        <w:tc>
          <w:tcPr>
            <w:tcW w:type="dxa" w:w="45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Where it stands</w:t>
            </w:r>
          </w:p>
        </w:tc>
        <w:tc>
          <w:tcPr>
            <w:tcW w:type="dxa" w:w="27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Look at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27 SL phase of insurance</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Status is Released, not Closed. The note says SL rows were stopped in v57.39, validation passed on June 28, and Eric’s client UAT is still needed before this is closed.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010448806C. The description says BA and SL both showed a death benefit of $5,778 in QLAdmin.</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21B Bill day</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Status is Released. The note says the fix is in v57.22 and still in the v57.34 bundle, and UAT is still needed.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010713704C should show 15, not 19. Also 765930C should show 28, 718309C should show 22, and 818663C should show 12.</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21C Policy fees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Status is Released. The note says the annual policy fee is on the base-coverage rider, the fix is in v57.22 and v57.34, and UAT is still needed.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010391876C should show $10.44. 010713704C should show $25.00.</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21H Banking information</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Status is Implemented (ABA) / Awaiting Client. The note says the 9-digit ABA fix is in v57.22 and v57.34. Still needed: whether checking and savings drafts belong in Bill Acct instead of Credit Card ID, and how the bank name should be mapped. The note also says 342 ambiguous accounts are still in review.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010713704C should show ABA 104000016 and account 47374579.</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21M Policy notes</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Open before September 21. Status is Released. The note says QUIKMEMO was merged to one row per MEMOKEY and shipped in v57.34. Client UAT is not done. There is no later note.</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010335038C. Check the Memo tab. Both note segments should be visible in the one merged memo.</w:t>
            </w:r>
          </w:p>
        </w:tc>
      </w:tr>
    </w:tbl>
    <w:p>
      <w:pPr>
        <w:spacing w:before="0" w:after="40" w:line="259" w:lineRule="auto"/>
      </w:pPr>
    </w:p>
    <w:p>
      <w:pPr>
        <w:spacing w:before="240" w:after="80" w:line="259" w:lineRule="auto"/>
      </w:pPr>
      <w:r>
        <w:rPr>
          <w:rFonts w:ascii="Calibri" w:hAnsi="Calibri" w:cs="Calibri" w:eastAsia="Calibri"/>
          <w:b/>
          <w:i w:val="0"/>
          <w:color w:val="1F3A5F"/>
          <w:sz w:val="26"/>
        </w:rPr>
        <w:t>6. ET Spreadsheet</w:t>
      </w:r>
    </w:p>
    <w:p>
      <w:pPr>
        <w:spacing w:before="40" w:after="120" w:line="259" w:lineRule="auto"/>
      </w:pPr>
      <w:r>
        <w:rPr>
          <w:rFonts w:ascii="Calibri" w:hAnsi="Calibri" w:cs="Calibri" w:eastAsia="Calibri"/>
          <w:b w:val="0"/>
          <w:i w:val="0"/>
          <w:color w:val="2F2F2F"/>
          <w:sz w:val="22"/>
        </w:rPr>
        <w:t>This is a request for a spreadsheet, not a conversion change. It is on today’s agenda because the October 3 note says Jill is still waiting for it.</w:t>
      </w:r>
    </w:p>
    <w:tbl>
      <w:tblPr>
        <w:tblStyle w:val="TableGrid"/>
        <w:tblW w:type="dxa" w:w="9504"/>
        <w:jc w:val="center"/>
        <w:tblLayout w:type="fixed"/>
        <w:tblLook w:firstColumn="1" w:firstRow="1" w:lastColumn="0" w:lastRow="0" w:noHBand="0" w:noVBand="1" w:val="04A0"/>
      </w:tblPr>
      <w:tblGrid>
        <w:gridCol w:w="2232"/>
        <w:gridCol w:w="4536"/>
        <w:gridCol w:w="2736"/>
      </w:tblGrid>
      <w:tr>
        <w:trPr>
          <w:tblHeader/>
          <w:cantSplit/>
        </w:trPr>
        <w:tc>
          <w:tcPr>
            <w:tcW w:type="dxa" w:w="2232"/>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Issue</w:t>
            </w:r>
          </w:p>
        </w:tc>
        <w:tc>
          <w:tcPr>
            <w:tcW w:type="dxa" w:w="45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Where it stands</w:t>
            </w:r>
          </w:p>
        </w:tc>
        <w:tc>
          <w:tcPr>
            <w:tcW w:type="dxa" w:w="273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Look at</w:t>
            </w:r>
          </w:p>
        </w:tc>
      </w:tr>
      <w:tr>
        <w:trPr>
          <w:cantSplit/>
        </w:trPr>
        <w:tc>
          <w:tcPr>
            <w:tcW w:type="dxa" w:w="2232"/>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185 ET spreadsheet</w:t>
            </w:r>
          </w:p>
        </w:tc>
        <w:tc>
          <w:tcPr>
            <w:tcW w:type="dxa" w:w="45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Not on the September 21 agenda. Raised September 23. Status is Active. The October 3 note says Jill is asking for the spreadsheet Amy Phillips offered. Robert was asked to reach out to Amy, or Warren will. Waiting on the spreadsheet.</w:t>
            </w:r>
          </w:p>
        </w:tc>
        <w:tc>
          <w:tcPr>
            <w:tcW w:type="dxa" w:w="273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No policy number is in the note.</w:t>
            </w:r>
          </w:p>
        </w:tc>
      </w:tr>
    </w:tbl>
    <w:p>
      <w:pPr>
        <w:spacing w:before="0" w:after="40" w:line="259" w:lineRule="auto"/>
      </w:pPr>
    </w:p>
    <w:p>
      <w:pPr>
        <w:spacing w:before="240" w:after="80" w:line="259" w:lineRule="auto"/>
      </w:pPr>
      <w:r>
        <w:rPr>
          <w:rFonts w:ascii="Calibri" w:hAnsi="Calibri" w:cs="Calibri" w:eastAsia="Calibri"/>
          <w:b/>
          <w:i w:val="0"/>
          <w:color w:val="1F3A5F"/>
          <w:sz w:val="26"/>
        </w:rPr>
        <w:t>7. Next Steps</w:t>
      </w:r>
    </w:p>
    <w:p>
      <w:pPr>
        <w:spacing w:before="240" w:after="80" w:line="259" w:lineRule="auto"/>
      </w:pPr>
      <w:r>
        <w:rPr>
          <w:rFonts w:ascii="Calibri" w:hAnsi="Calibri" w:cs="Calibri" w:eastAsia="Calibri"/>
          <w:b/>
          <w:i w:val="0"/>
          <w:color w:val="1F3A5F"/>
          <w:sz w:val="24"/>
        </w:rPr>
        <w:t>7.1 From this meeting</w:t>
      </w:r>
    </w:p>
    <w:tbl>
      <w:tblPr>
        <w:tblStyle w:val="TableGrid"/>
        <w:tblW w:type="dxa" w:w="9504"/>
        <w:jc w:val="center"/>
        <w:tblLayout w:type="fixed"/>
        <w:tblLook w:firstColumn="1" w:firstRow="1" w:lastColumn="0" w:lastRow="0" w:noHBand="0" w:noVBand="1" w:val="04A0"/>
      </w:tblPr>
      <w:tblGrid>
        <w:gridCol w:w="3096"/>
        <w:gridCol w:w="6408"/>
      </w:tblGrid>
      <w:tr>
        <w:trPr>
          <w:tblHeader/>
          <w:cantSplit/>
        </w:trPr>
        <w:tc>
          <w:tcPr>
            <w:tcW w:type="dxa" w:w="309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Item</w:t>
            </w:r>
          </w:p>
        </w:tc>
        <w:tc>
          <w:tcPr>
            <w:tcW w:type="dxa" w:w="6408"/>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Ask</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162 and 164</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Confirm whether loading the negative loan balance clears the loan-amount mismatches and the overloan letters. Eric was testing on September 30.</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163</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Say whether the cash value on 9010811343C should be the full account or the account after the surrender charge.</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165 and 178</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Eric: provide the Banker's 30/360 calculation, and an ISWL policy with a monthly anniversary on the 29th, 30th, or 31st, preferably one that crosses February.</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147</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Say whether extended-term units should be restated to the current death benefit, and whether 668 units stay at the original face.</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150</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Robert: confirm use of the second insured’s coverage, the record that has the units.</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153</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Sujitha: say whether the ISWL expense charge is being added into the modal premium and the reserve on the valuation run.</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154</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Say whether gross premium due should stay at zero while billing is suspended.</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155</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CSO: confirm that value per unit is $1,000 on your valuation.</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169</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Confirm 9010800356C $8,239.00, 9010768802C $490.35, and 9010764248C $474.50. Send the mortality table, interest rate, and reserve method for 619 spouse paid-up and the two 1596 accidental-death riders. Say whether the 1595 waiver, the 1596-667 accidental-death rider, and the SAL accidental-death rider should be zero.</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170</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QL: say how Admin applies the greater-of cash-value floor on 668 SPWL. The SAL ordinary-life samples still need a current valuation.</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171</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CSO actuarial: finish the verification of the interest-sensitive reserve gap.</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135</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Accept the examiner-entered rate, or send a state requirement that recommendation does not cover.</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182</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Confirm that return of premium is missing on 9010969653C and 9010771349C. The log does not state a fix.</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183</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Confirm that the policy fee goes back on the premium and the policy expense comes off the valuation file.</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185</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Get the ET spreadsheet Amy Phillips offered, and send it to Jill.</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27, 21B, 21C, 21H, and 21M</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Finish the client checks named in section 5. The log still will not close these without that UAT.</w:t>
            </w:r>
          </w:p>
        </w:tc>
      </w:tr>
    </w:tbl>
    <w:p>
      <w:pPr>
        <w:spacing w:before="0" w:after="40" w:line="259" w:lineRule="auto"/>
      </w:pPr>
    </w:p>
    <w:p>
      <w:pPr>
        <w:spacing w:before="240" w:after="80" w:line="259" w:lineRule="auto"/>
      </w:pPr>
      <w:r>
        <w:rPr>
          <w:rFonts w:ascii="Calibri" w:hAnsi="Calibri" w:cs="Calibri" w:eastAsia="Calibri"/>
          <w:b/>
          <w:i w:val="0"/>
          <w:color w:val="1F3A5F"/>
          <w:sz w:val="24"/>
        </w:rPr>
        <w:t>7.2 QLA operations</w:t>
      </w:r>
    </w:p>
    <w:p>
      <w:pPr>
        <w:spacing w:before="40" w:after="120" w:line="259" w:lineRule="auto"/>
      </w:pPr>
      <w:r>
        <w:rPr>
          <w:rFonts w:ascii="Calibri" w:hAnsi="Calibri" w:cs="Calibri" w:eastAsia="Calibri"/>
          <w:b w:val="0"/>
          <w:i w:val="0"/>
          <w:color w:val="2F2F2F"/>
          <w:sz w:val="22"/>
        </w:rPr>
        <w:t>These rows are work the log still shows as open. They are not new decisions beyond section 7.1.</w:t>
      </w:r>
    </w:p>
    <w:tbl>
      <w:tblPr>
        <w:tblStyle w:val="TableGrid"/>
        <w:tblW w:type="dxa" w:w="9504"/>
        <w:jc w:val="center"/>
        <w:tblLayout w:type="fixed"/>
        <w:tblLook w:firstColumn="1" w:firstRow="1" w:lastColumn="0" w:lastRow="0" w:noHBand="0" w:noVBand="1" w:val="04A0"/>
      </w:tblPr>
      <w:tblGrid>
        <w:gridCol w:w="3096"/>
        <w:gridCol w:w="6408"/>
      </w:tblGrid>
      <w:tr>
        <w:trPr>
          <w:tblHeader/>
          <w:cantSplit/>
        </w:trPr>
        <w:tc>
          <w:tcPr>
            <w:tcW w:type="dxa" w:w="3096"/>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Item</w:t>
            </w:r>
          </w:p>
        </w:tc>
        <w:tc>
          <w:tcPr>
            <w:tcW w:type="dxa" w:w="6408"/>
            <w:shd w:val="clear" w:color="auto" w:fill="1F3A5F"/>
            <w:vAlign w:val="center"/>
            <w:tcMar>
              <w:top w:w="40" w:type="dxa"/>
              <w:bottom w:w="40" w:type="dxa"/>
              <w:left w:w="80" w:type="dxa"/>
              <w:right w:w="80" w:type="dxa"/>
            </w:tcMar>
          </w:tcPr>
          <w:p>
            <w:pPr>
              <w:spacing w:before="0" w:after="0" w:line="259" w:lineRule="auto"/>
              <w:jc w:val="left"/>
            </w:pPr>
            <w:r>
              <w:rPr>
                <w:rFonts w:ascii="Calibri" w:hAnsi="Calibri" w:cs="Calibri" w:eastAsia="Calibri"/>
                <w:b/>
                <w:i w:val="0"/>
                <w:color w:val="FFFFFF"/>
                <w:sz w:val="22"/>
              </w:rPr>
              <w:t>Ask</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150 Multiple insureds</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Still Pending QLA Dev. The question for Robert is in section 3.</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153 Fee on the valuation file</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Still Pending QLA Dev. The question for Sujitha is in section 3.</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165 and 178 Banker's 30/360</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Sujitha is researching 165. Item 178 is logged only. No conversion work is on that row.</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177 Pro Financial accounting extracts</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Status is Coding. The September 28 note says Sujitha uploaded CSO_MonthEND_FDR to the QLAdmin Sharefile. Green fields are required. Coding is nearly ready, and she is verifying a few fields. The reserves AMT file follows that research. Case 202605-175357 was approved by Brianna Balli on 5/5/2026.</w:t>
            </w:r>
          </w:p>
        </w:tc>
      </w:tr>
      <w:tr>
        <w:trPr>
          <w:cantSplit/>
        </w:trPr>
        <w:tc>
          <w:tcPr>
            <w:tcW w:type="dxa" w:w="3096"/>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184 ISWL account roll-forward</w:t>
            </w:r>
          </w:p>
        </w:tc>
        <w:tc>
          <w:tcPr>
            <w:tcW w:type="dxa" w:w="6408"/>
            <w:vAlign w:val="top"/>
            <w:tcMar>
              <w:top w:w="40" w:type="dxa"/>
              <w:bottom w:w="40" w:type="dxa"/>
              <w:left w:w="80" w:type="dxa"/>
              <w:right w:w="80" w:type="dxa"/>
            </w:tcMar>
          </w:tcPr>
          <w:p>
            <w:pPr>
              <w:spacing w:before="0" w:after="0" w:line="259" w:lineRule="auto"/>
            </w:pPr>
            <w:r>
              <w:rPr>
                <w:rFonts w:ascii="Calibri" w:hAnsi="Calibri" w:cs="Calibri" w:eastAsia="Calibri"/>
                <w:b w:val="0"/>
                <w:i w:val="0"/>
                <w:color w:val="2F2F2F"/>
                <w:sz w:val="22"/>
              </w:rPr>
              <w:t>Logged only. Convert the June 30 package, run anniversary processing through August 31, and validate the account balances. No conversion change is in this item.</w:t>
            </w:r>
          </w:p>
        </w:tc>
      </w:tr>
    </w:tbl>
    <w:p>
      <w:pPr>
        <w:spacing w:before="0" w:after="40" w:line="259" w:lineRule="auto"/>
      </w:pPr>
    </w:p>
    <w:p>
      <w:pPr>
        <w:spacing w:before="240" w:after="80" w:line="259" w:lineRule="auto"/>
      </w:pPr>
      <w:r>
        <w:rPr>
          <w:rFonts w:ascii="Calibri" w:hAnsi="Calibri" w:cs="Calibri" w:eastAsia="Calibri"/>
          <w:b/>
          <w:i w:val="0"/>
          <w:color w:val="1F3A5F"/>
          <w:sz w:val="26"/>
        </w:rPr>
        <w:t>8. Close</w:t>
      </w:r>
    </w:p>
    <w:p>
      <w:pPr>
        <w:spacing w:before="80" w:after="0" w:line="259" w:lineRule="auto"/>
      </w:pPr>
      <w:r>
        <w:rPr>
          <w:rFonts w:ascii="Calibri" w:hAnsi="Calibri" w:cs="Calibri" w:eastAsia="Calibri"/>
          <w:b w:val="0"/>
          <w:i/>
          <w:color w:val="1F3A5F"/>
          <w:sz w:val="22"/>
        </w:rPr>
        <w:t>Today’s focus is the loan-balance test, the cash value on 9010811343C, the reserve items still with CSO, the claims interest recommendation, and the new death-claim, policy-fee, and ET spreadsheet items. Please leave with an answer on each ask in section 7.1.</w:t>
      </w:r>
    </w:p>
    <w:sectPr w:rsidR="00FC693F" w:rsidRPr="0006063C" w:rsidSect="00034616">
      <w:headerReference w:type="default" r:id="rId9"/>
      <w:footerReference w:type="default" r:id="rId10"/>
      <w:pgSz w:w="12240" w:h="15840"/>
      <w:pgMar w:top="1224" w:right="1368" w:bottom="1080"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Calibri" w:hAnsi="Calibri" w:cs="Calibri" w:eastAsia="Calibri"/>
        <w:b w:val="0"/>
        <w:i w:val="0"/>
        <w:color w:val="555555"/>
        <w:sz w:val="16"/>
      </w:rPr>
      <w:t>Central States Life  |  QLAdmin Conversion Meeting  |  October 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center"/>
    </w:pPr>
    <w:r>
      <w:rPr>
        <w:rFonts w:ascii="Calibri" w:hAnsi="Calibri" w:cs="Calibri" w:eastAsia="Calibri"/>
        <w:b/>
        <w:i w:val="0"/>
        <w:color w:val="1F3A5F"/>
        <w:sz w:val="40"/>
      </w:rPr>
      <w:t>Central States Life</w:t>
    </w:r>
  </w:p>
  <w:p>
    <w:pPr>
      <w:spacing w:before="0" w:after="0" w:line="259" w:lineRule="auto"/>
      <w:jc w:val="center"/>
    </w:pPr>
    <w:r>
      <w:rPr>
        <w:rFonts w:ascii="Calibri" w:hAnsi="Calibri" w:cs="Calibri" w:eastAsia="Calibri"/>
        <w:b/>
        <w:i w:val="0"/>
        <w:color w:val="1F3A5F"/>
        <w:sz w:val="26"/>
      </w:rPr>
      <w:t>QLAdmin Conversion — Status Meeting Agenda</w:t>
    </w:r>
  </w:p>
  <w:p>
    <w:pPr>
      <w:spacing w:before="0" w:after="20" w:line="259" w:lineRule="auto"/>
      <w:jc w:val="center"/>
    </w:pPr>
    <w:r>
      <w:rPr>
        <w:rFonts w:ascii="Calibri" w:hAnsi="Calibri" w:cs="Calibri" w:eastAsia="Calibri"/>
        <w:b w:val="0"/>
        <w:i w:val="0"/>
        <w:color w:val="555555"/>
        <w:sz w:val="22"/>
      </w:rPr>
      <w:t>Monday, October 5, 2026</w:t>
    </w:r>
  </w:p>
  <w:p>
    <w:pPr>
      <w:spacing w:before="0" w:after="40" w:line="259" w:lineRule="auto"/>
      <w:jc w:val="center"/>
    </w:pPr>
    <w:r>
      <w:rPr>
        <w:rFonts w:ascii="Calibri" w:hAnsi="Calibri" w:cs="Calibri" w:eastAsia="Calibri"/>
        <w:b w:val="0"/>
        <w:i/>
        <w:color w:val="555555"/>
        <w:sz w:val="20"/>
      </w:rPr>
      <w:t>This meeting confirms the open conversion items that still need an answer from CSO or from QLAdmin.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s="Calibri" w:eastAsia="Calibri"/>
      <w:color w:val="2F2F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