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pcw-gaussian-process-model-for-critical-window-estimation"/>
      <w:bookmarkEnd w:id="21"/>
      <w:r>
        <w:t xml:space="preserve">GPCW: Gaussian Process Model for Critical Window Estimation</w:t>
      </w:r>
    </w:p>
    <w:p>
      <w:pPr>
        <w:pStyle w:val="Heading2"/>
      </w:pPr>
      <w:bookmarkStart w:id="22" w:name="gpcw_example"/>
      <w:bookmarkEnd w:id="22"/>
      <w:r>
        <w:t xml:space="preserve">GPCW_Example</w:t>
      </w:r>
    </w:p>
    <w:p>
      <w:pPr>
        <w:pStyle w:val="FirstParagraph"/>
      </w:pPr>
      <w:r>
        <w:t xml:space="preserve">[1] Simulate data from the proposed model: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8453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(GPCW) 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(mnormt)  </w:t>
      </w:r>
      <w:r>
        <w:rPr>
          <w:rStyle w:val="CommentTok"/>
        </w:rPr>
        <w:t xml:space="preserve">#Multivariate normal distribution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 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sigma2_theta_true&lt;-</w:t>
      </w:r>
      <w:r>
        <w:rPr>
          <w:rStyle w:val="FloatTok"/>
        </w:rPr>
        <w:t xml:space="preserve">0.50</w:t>
      </w:r>
      <w:r>
        <w:br w:type="textWrapping"/>
      </w:r>
      <w:r>
        <w:rPr>
          <w:rStyle w:val="NormalTok"/>
        </w:rPr>
        <w:t xml:space="preserve">phi_true&lt;-</w:t>
      </w:r>
      <w:r>
        <w:rPr>
          <w:rStyle w:val="FloatTok"/>
        </w:rPr>
        <w:t xml:space="preserve">0.01</w:t>
      </w:r>
      <w:r>
        <w:br w:type="textWrapping"/>
      </w:r>
      <w:r>
        <w:rPr>
          <w:rStyle w:val="NormalTok"/>
        </w:rPr>
        <w:t xml:space="preserve">Sigma_true&lt;-sigma2_theta_true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temporal_corr_fun</w:t>
      </w:r>
      <w:r>
        <w:rPr>
          <w:rStyle w:val="NormalTok"/>
        </w:rPr>
        <w:t xml:space="preserve">(m, </w:t>
      </w:r>
      <w:r>
        <w:br w:type="textWrapping"/>
      </w:r>
      <w:r>
        <w:rPr>
          <w:rStyle w:val="NormalTok"/>
        </w:rPr>
        <w:t xml:space="preserve">                                                              phi_true)[[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rmnorm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varcov=</w:t>
      </w:r>
      <w:r>
        <w:rPr>
          <w:rStyle w:val="NormalTok"/>
        </w:rPr>
        <w:t xml:space="preserve">Sigma_true)</w:t>
      </w:r>
      <w:r>
        <w:br w:type="textWrapping"/>
      </w:r>
      <w:r>
        <w:rPr>
          <w:rStyle w:val="NormalTok"/>
        </w:rPr>
        <w:t xml:space="preserve">theta_true&lt;-theta_true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(theta_true)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GPCW to 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GPCW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 Acceptance: 27%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 Acceptance: 29%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 Acceptance: 28%</w:t>
      </w:r>
      <w:r>
        <w:br w:type="textWrapping"/>
      </w:r>
      <w:r>
        <w:rPr>
          <w:rStyle w:val="VerbatimChar"/>
        </w:rPr>
        <w:t xml:space="preserve">## *******************</w:t>
      </w:r>
    </w:p>
    <w:p>
      <w:pPr>
        <w:pStyle w:val="FirstParagraph"/>
      </w:pPr>
      <w:r>
        <w:t xml:space="preserve">[3] Analyzing Output: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sigma2_theta[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"sigma2_theta"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sigma2_theta_true,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phi_true,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theta[,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(theta_true,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PCW_Ex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667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09ee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2018-11-10T03:29:15Z</dcterms:created>
  <dcterms:modified xsi:type="dcterms:W3CDTF">2018-11-10T03:29:15Z</dcterms:modified>
</cp:coreProperties>
</file>