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Warrigal Research Suite Project Vision</w:t>
      </w:r>
    </w:p>
    <w:p>
      <w:r>
        <w:t>Scientific research, domain workspaces, experimental tools and the path to a usable suite</w:t>
      </w:r>
    </w:p>
    <w:p>
      <w:r>
        <w:t>Working project description  |  29 September 2026</w:t>
      </w:r>
    </w:p>
    <w:p>
      <w:pPr>
        <w:pStyle w:val="Heading1"/>
        <w:keepNext/>
      </w:pPr>
      <w:r>
        <w:t>Purpose</w:t>
      </w:r>
    </w:p>
    <w:p>
      <w:r>
        <w:t>Warrigal Research Suite is being developed as a scientific research environment. It should support an investigation from its first question through evidence gathering, observation, analysis, experimentation and communication. The acquisition system is one layer: it preserves material and provenance so the rest of the suite has a dependable foundation. The broader goal is a place to think, test, create and keep working across connected research projects.</w:t>
      </w:r>
    </w:p>
    <w:p>
      <w:r>
        <w:t>This document describes the intended product and the experience it needs to provide. It is a direction for design and development, not a claim that every capability is implemented. The project should grow from the work it is meant to support, including mycology, biology, chemistry, mathematical and sequence exploration, audio and visual work, and scientific writing.</w:t>
      </w:r>
    </w:p>
    <w:p>
      <w:pPr>
        <w:pStyle w:val="Heading1"/>
        <w:keepNext/>
      </w:pPr>
      <w:r>
        <w:t>1 The complete research journey</w:t>
      </w:r>
    </w:p>
    <w:p>
      <w:r>
        <w:t>A researcher should be able to open a project around a question, observation or proposed explanation. The project holds what is being investigated, why it matters, the material being examined, what has been tried, what was found, what remains uncertain and what to do next. It should be possible to return months later and understand the state of the work without reconstructing it from scattered files and chats.</w:t>
      </w:r>
    </w:p>
    <w:p>
      <w:pPr>
        <w:pStyle w:val="ListNumber"/>
      </w:pPr>
      <w:r>
        <w:t>Frame the question. Record the question, initial reasoning, alternative explanations and useful next observations or sources.</w:t>
      </w:r>
    </w:p>
    <w:p>
      <w:pPr>
        <w:pStyle w:val="ListNumber"/>
      </w:pPr>
      <w:r>
        <w:t>Bring in material. Find relevant items already in Warrigal or acquire new sources, while retaining originals and their provenance.</w:t>
      </w:r>
    </w:p>
    <w:p>
      <w:pPr>
        <w:pStyle w:val="ListNumber"/>
      </w:pPr>
      <w:r>
        <w:t>Examine evidence. Search, read in context, collect passages, compare sources and annotate why each item matters.</w:t>
      </w:r>
    </w:p>
    <w:p>
      <w:pPr>
        <w:pStyle w:val="ListNumber"/>
      </w:pPr>
      <w:r>
        <w:t>Investigate. Record observations and methods, use analysis or experimental tools, compare results against expectations and preserve uncertainty.</w:t>
      </w:r>
    </w:p>
    <w:p>
      <w:pPr>
        <w:pStyle w:val="ListNumber"/>
      </w:pPr>
      <w:r>
        <w:t>Develop a result. State what the evidence supports, what challenges it, what is still unresolved and how the conclusion was reached.</w:t>
      </w:r>
    </w:p>
    <w:p>
      <w:pPr>
        <w:pStyle w:val="ListNumber"/>
      </w:pPr>
      <w:r>
        <w:t>Create and continue. Produce an output if useful, assign follow-up work, and resume the project later with its history intact.</w:t>
      </w:r>
    </w:p>
    <w:p>
      <w:r>
        <w:t>The interface should make this journey natural. Warrigal should not require a researcher to operate unrelated command-line tools simply to move from a source to a question, or from an analysis to a report.</w:t>
      </w:r>
    </w:p>
    <w:p>
      <w:pPr>
        <w:pStyle w:val="Heading1"/>
        <w:keepNext/>
      </w:pPr>
      <w:r>
        <w:t>2 Scientific integrity throughout the suite</w:t>
      </w:r>
    </w:p>
    <w:p>
      <w:r>
        <w:t>Original source material, observations, extracted information, proposed relationships, analytical results and interpretations must remain distinguishable. A generated suggestion is useful as a lead, but it does not become an observed fact because software produced it. Significant claims should lead back to the material or work that supports them.</w:t>
      </w:r>
    </w:p>
    <w:p>
      <w:pPr>
        <w:pStyle w:val="ListBullet"/>
      </w:pPr>
      <w:r>
        <w:t>Traceability: move from a statement or result to its input, method, passage and original source where applicable.</w:t>
      </w:r>
    </w:p>
    <w:p>
      <w:pPr>
        <w:pStyle w:val="ListBullet"/>
      </w:pPr>
      <w:r>
        <w:t>Repeatability: retain the configuration, inputs and steps needed to examine or repeat an analysis.</w:t>
      </w:r>
    </w:p>
    <w:p>
      <w:pPr>
        <w:pStyle w:val="ListBullet"/>
      </w:pPr>
      <w:r>
        <w:t>Uncertainty: record missing data, conflicting evidence, incomplete collection and alternative explanations.</w:t>
      </w:r>
    </w:p>
    <w:p>
      <w:pPr>
        <w:pStyle w:val="ListBullet"/>
      </w:pPr>
      <w:r>
        <w:t>Revision: allow a conclusion to change while retaining why it changed and which evidence was available at the time.</w:t>
      </w:r>
    </w:p>
    <w:p>
      <w:pPr>
        <w:pStyle w:val="ListBullet"/>
      </w:pPr>
      <w:r>
        <w:t>Researcher control: people and agents may suggest, organise and test, but acceptance and publication remain deliberate decisions.</w:t>
      </w:r>
    </w:p>
    <w:p>
      <w:pPr>
        <w:pStyle w:val="Heading1"/>
        <w:keepNext/>
      </w:pPr>
      <w:r>
        <w:t>3 Evidence acquisition and the archive</w:t>
      </w:r>
    </w:p>
    <w:p>
      <w:r>
        <w:t>Warrigal already has substantial code for collecting, preserving and indexing material from several source types. The archive should continue to preserve original bytes, acquisition details and source relationships. Extracted passages, transcripts, observations and published views are derived from that foundation rather than substitutes for it.</w:t>
      </w:r>
    </w:p>
    <w:p>
      <w:r>
        <w:t>The next product need is access to this material from inside a research project. Search should return usable context, not only an isolated match. A researcher should be able to save relevant findings, connect them to a question, compare them, and return to the original. Long or interrupted collection work must expose its limits and resume without silent duplication.</w:t>
      </w:r>
    </w:p>
    <w:p>
      <w:r>
        <w:t>The canonical private archive and operational checkpoints are separate from the public code repository. A project description can explain the suite without listing personal research targets or exposing private research collections.</w:t>
      </w:r>
    </w:p>
    <w:p>
      <w:pPr>
        <w:pStyle w:val="Heading1"/>
        <w:keepNext/>
      </w:pPr>
      <w:r>
        <w:t>4 Research workspaces for real domains</w:t>
      </w:r>
    </w:p>
    <w:p>
      <w:r>
        <w:t>The suite needs a common research foundation and workspaces suited to different kinds of work. These are not merely labels in a menu. They should let the researcher record the things that matter in that field while sharing the same evidence, provenance, project history and output system.</w:t>
      </w:r>
    </w:p>
    <w:p>
      <w:pPr>
        <w:pStyle w:val="Heading2"/>
        <w:keepNext/>
      </w:pPr>
      <w:r>
        <w:t>Mycology and mushroom research</w:t>
      </w:r>
    </w:p>
    <w:p>
      <w:r>
        <w:t>The Mushroom Lab should support investigations across field work, identification, cultivation, biology, chemistry and practical applications. A project may begin with a field observation or specimen, a cultivation question, a paper, a compound of interest, or an idea for a material or bioremediation experiment. Warrigal should keep these routes connected without treating them as interchangeable.</w:t>
      </w:r>
    </w:p>
    <w:p>
      <w:pPr>
        <w:pStyle w:val="ListBullet"/>
      </w:pPr>
      <w:r>
        <w:t>Field and identification work: record location or context when appropriate, date, images, observable features, candidate identifications, comparisons, uncertainty and later corrections.</w:t>
      </w:r>
    </w:p>
    <w:p>
      <w:pPr>
        <w:pStyle w:val="ListBullet"/>
      </w:pPr>
      <w:r>
        <w:t>Cultivation and experimental work: record organism or culture, substrate or materials, conditions, interventions, measurements, timelines, outcomes and repetitions.</w:t>
      </w:r>
    </w:p>
    <w:p>
      <w:pPr>
        <w:pStyle w:val="ListBullet"/>
      </w:pPr>
      <w:r>
        <w:t>Literature and mechanism: connect papers, notes and passages to biological questions, proposed mechanisms, chemical constituents and claims requiring verification.</w:t>
      </w:r>
    </w:p>
    <w:p>
      <w:pPr>
        <w:pStyle w:val="ListBullet"/>
      </w:pPr>
      <w:r>
        <w:t>Applications and making: connect a material, extraction or remediation idea to its method, observations, safety-relevant constraints, results and next experiment.</w:t>
      </w:r>
    </w:p>
    <w:p>
      <w:r>
        <w:t>The aim is to support an evolving scientific record: from noticing something in the field to testing an idea and communicating what was learned. A species record, a cultivation run and a literature claim may relate to each other, but each has different evidence and uncertainty.</w:t>
      </w:r>
    </w:p>
    <w:p>
      <w:pPr>
        <w:pStyle w:val="Heading2"/>
        <w:keepNext/>
      </w:pPr>
      <w:r>
        <w:t>Plant research</w:t>
      </w:r>
    </w:p>
    <w:p>
      <w:r>
        <w:t>Plant research should have its own place alongside the Mushroom Lab. The suite should support botany, native plant and ecological research, cultivation, plant chemistry, and questions about relationships among plants, fungi, microbes, environments and human use. It should not treat a plant as a mushroom record with a different label.</w:t>
      </w:r>
    </w:p>
    <w:p>
      <w:r>
        <w:t>A plant investigation might begin with a field observation, a specimen or image, a cultivation trial, a chemical constituent, a biological interaction or a question from the literature. It should be possible to follow that inquiry from identification and context through methods, repeated observations, evidence comparisons and practical outcomes.</w:t>
      </w:r>
    </w:p>
    <w:p>
      <w:pPr>
        <w:pStyle w:val="ListBullet"/>
      </w:pPr>
      <w:r>
        <w:t>Field and identification records: location and habitat when appropriate, date, images, morphological features, candidate identifications, comparisons, confidence and later revisions.</w:t>
      </w:r>
    </w:p>
    <w:p>
      <w:pPr>
        <w:pStyle w:val="ListBullet"/>
      </w:pPr>
      <w:r>
        <w:t>Growth and ecology: conditions, developmental stage, seasonal changes, associations with other organisms, interventions, measurements and repeated observations.</w:t>
      </w:r>
    </w:p>
    <w:p>
      <w:pPr>
        <w:pStyle w:val="ListBullet"/>
      </w:pPr>
      <w:r>
        <w:t>Chemistry and human relevance: source-linked research on constituents, preparation or extraction methods, biological activity and uncertainty, without treating a traditional use or preliminary study as clinical proof.</w:t>
      </w:r>
    </w:p>
    <w:p>
      <w:pPr>
        <w:pStyle w:val="ListBullet"/>
      </w:pPr>
      <w:r>
        <w:t>Practical work: cultivation, propagation, materials or ecological experiments linked to the relevant project, method and results.</w:t>
      </w:r>
    </w:p>
    <w:p>
      <w:r>
        <w:t>Mycology and plant research should be able to connect when an investigation calls for it, such as ecological interactions or shared field work. Each still needs records suited to its organism, methods and questions.</w:t>
      </w:r>
    </w:p>
    <w:p>
      <w:pPr>
        <w:pStyle w:val="Heading2"/>
        <w:keepNext/>
      </w:pPr>
      <w:r>
        <w:t>Biology and chemistry</w:t>
      </w:r>
    </w:p>
    <w:p>
      <w:r>
        <w:t>Biology and chemistry areas should support study of organisms, mechanisms, measurements, compounds, methods and experimental results. They should be useful both independently and alongside mycology or other research. A result should be linked to the question and procedure that produced it; a literature claim should remain linked to the publication that made it.</w:t>
      </w:r>
    </w:p>
    <w:p>
      <w:pPr>
        <w:pStyle w:val="Heading2"/>
        <w:keepNext/>
      </w:pPr>
      <w:r>
        <w:t>Workshop and practical experiments</w:t>
      </w:r>
    </w:p>
    <w:p>
      <w:r>
        <w:t>A Workshop Log should retain practical work that does not fit neatly into a literature review: what was built or tested, materials and settings, dated observations, changes between iterations, images or measurements, and what the result suggests. This makes hands-on work part of the research record rather than an unconnected set of notes.</w:t>
      </w:r>
    </w:p>
    <w:p>
      <w:pPr>
        <w:pStyle w:val="Heading1"/>
        <w:keepNext/>
      </w:pPr>
      <w:r>
        <w:t>5 Human health research and future reference laboratory</w:t>
      </w:r>
    </w:p>
    <w:p>
      <w:r>
        <w:t>Human health is a major research direction for Warrigal Research Suite. It draws on biology and human biomolecular science to investigate disease across the person, anatomy, embryonic and tissue development, cells, genes, proteins, microorganisms, viruses and the methods used to study them. The purpose is to move between those levels in a single investigation while keeping the evidence for each connection visible.</w:t>
      </w:r>
    </w:p>
    <w:p>
      <w:r>
        <w:t>A project may begin with an unresolved health question, an observed feature, a tissue finding, an organism, a viral mechanism, a genetic question or an unusual laboratory result. Warrigal should help define the question, examine existing research, distinguish observations from interpretations, compare possible mechanisms and identify what evidence could clarify the uncertainty.</w:t>
      </w:r>
    </w:p>
    <w:p>
      <w:pPr>
        <w:pStyle w:val="Heading2"/>
        <w:keepNext/>
      </w:pPr>
      <w:r>
        <w:t>Human health research projects</w:t>
      </w:r>
    </w:p>
    <w:p>
      <w:r>
        <w:t>A health research project is the working record for a question and its development. It is broader than a patient file and more structured than a folder of papers. It should be able to connect the following parts without forcing them into one kind of evidence:</w:t>
      </w:r>
    </w:p>
    <w:p>
      <w:pPr>
        <w:pStyle w:val="ListBullet"/>
      </w:pPr>
      <w:r>
        <w:t>The question and its history: what prompted the investigation, how the question changed, and what remains unresolved.</w:t>
      </w:r>
    </w:p>
    <w:p>
      <w:pPr>
        <w:pStyle w:val="ListBullet"/>
      </w:pPr>
      <w:r>
        <w:t>Biological context: relevant anatomy, tissue changes, development, physiology, cellular pathways, genetics, microbiology and virology.</w:t>
      </w:r>
    </w:p>
    <w:p>
      <w:pPr>
        <w:pStyle w:val="ListBullet"/>
      </w:pPr>
      <w:r>
        <w:t>Published research: findings, methods, study populations, controls, limitations and the exact source behind each claim.</w:t>
      </w:r>
    </w:p>
    <w:p>
      <w:pPr>
        <w:pStyle w:val="ListBullet"/>
      </w:pPr>
      <w:r>
        <w:t>Observations and data: dated observations, measurements and existing records, with their origins and gaps made clear.</w:t>
      </w:r>
    </w:p>
    <w:p>
      <w:pPr>
        <w:pStyle w:val="ListBullet"/>
      </w:pPr>
      <w:r>
        <w:t>Possible explanations: what each accounts for, what supports or challenges it, and what result might distinguish alternatives.</w:t>
      </w:r>
    </w:p>
    <w:p>
      <w:pPr>
        <w:pStyle w:val="ListBullet"/>
      </w:pPr>
      <w:r>
        <w:t>Methods and results: analyses or laboratory work, including samples where appropriate, controls, quality concerns, findings and interpretation.</w:t>
      </w:r>
    </w:p>
    <w:p>
      <w:pPr>
        <w:pStyle w:val="ListBullet"/>
      </w:pPr>
      <w:r>
        <w:t>Next steps and outputs: research questions, collaborator review, case studies and reports grounded in the recorded work.</w:t>
      </w:r>
    </w:p>
    <w:p>
      <w:r>
        <w:t>This structure can support microbiology, viruses and viral pathogenesis, disease mechanisms, anatomy, tissue development, molecular biology, genetics and gene-editing research. Those areas need usable scientific relationships, not merely tags attached to documents.</w:t>
      </w:r>
    </w:p>
    <w:p>
      <w:pPr>
        <w:pStyle w:val="Heading2"/>
        <w:keepNext/>
      </w:pPr>
      <w:r>
        <w:t>Voluntary case investigations</w:t>
      </w:r>
    </w:p>
    <w:p>
      <w:r>
        <w:t>A person with an unresolved health question could choose to participate in a structured research investigation. The aim is to gather and examine evidence carefully, including laboratory evidence where appropriate, and state what can and cannot be concluded. Participation should be voluntary and based on a defined research purpose. The research process does not promise a diagnosis or replace a person’s existing care.</w:t>
      </w:r>
    </w:p>
    <w:p>
      <w:pPr>
        <w:pStyle w:val="Heading3"/>
        <w:keepNext/>
      </w:pPr>
      <w:r>
        <w:t>Define the question and participation</w:t>
      </w:r>
    </w:p>
    <w:p>
      <w:r>
        <w:t>Record what the participant wants investigated, what the research proposes to do, what information or specimens may be involved, how results may be handled and the limits of the investigation. Consent and access decisions should be recorded as part of the study, not detached from its data.</w:t>
      </w:r>
    </w:p>
    <w:p>
      <w:pPr>
        <w:pStyle w:val="Heading3"/>
        <w:keepNext/>
      </w:pPr>
      <w:r>
        <w:t>Assemble existing evidence</w:t>
      </w:r>
    </w:p>
    <w:p>
      <w:r>
        <w:t>Organise the participant’s account, existing records, earlier tests, dated observations and relevant literature. Preserve contradictory and inconclusive findings. A result should retain the method, timing and context in which it was obtained.</w:t>
      </w:r>
    </w:p>
    <w:p>
      <w:pPr>
        <w:pStyle w:val="Heading3"/>
        <w:keepNext/>
      </w:pPr>
      <w:r>
        <w:t>Develop testable possibilities</w:t>
      </w:r>
    </w:p>
    <w:p>
      <w:r>
        <w:t>Connect possible biological explanations to observations they might account for. Record assumptions and alternative explanations. Specify what further observation, analysis or specialist review could support or weaken each possibility.</w:t>
      </w:r>
    </w:p>
    <w:p>
      <w:pPr>
        <w:pStyle w:val="Heading3"/>
        <w:keepNext/>
      </w:pPr>
      <w:r>
        <w:t>Plan and examine additional work</w:t>
      </w:r>
    </w:p>
    <w:p>
      <w:r>
        <w:t>When new work is justified, link the research question to a proposed method, any specimen or dataset, controls, handling history, measurement and quality information. Evaluate positive, negative, unexpected and inconclusive results in light of those details rather than treating a test label as a complete answer.</w:t>
      </w:r>
    </w:p>
    <w:p>
      <w:pPr>
        <w:pStyle w:val="Heading3"/>
        <w:keepNext/>
      </w:pPr>
      <w:r>
        <w:t>Report and continue</w:t>
      </w:r>
    </w:p>
    <w:p>
      <w:r>
        <w:t>A case account should distinguish the participant’s experience, observed evidence, laboratory findings, interpretation and unanswered questions. It should show what was learned, what remains uncertain and what next investigation would be meaningful.</w:t>
      </w:r>
    </w:p>
    <w:p>
      <w:pPr>
        <w:pStyle w:val="Heading2"/>
        <w:keepNext/>
      </w:pPr>
      <w:r>
        <w:t>People and health information</w:t>
      </w:r>
    </w:p>
    <w:p>
      <w:r>
        <w:t>A later participant-facing system would need to separate identity and contact details from research analysis where appropriate, restrict access by purpose, record consent or other lawful authority, and allow the participant to understand how information and samples are used. Study-specific ethical review and privacy governance must be settled before Warrigal is used to collect real participant health information.</w:t>
      </w:r>
    </w:p>
    <w:p>
      <w:r>
        <w:t>The practical design includes controlled access, traceable changes, secure storage, retention and withdrawal rules, and an account of what can be shared with researchers, laboratories or clinicians. These are part of making research trustworthy, not a substitute for the scientific work.</w:t>
      </w:r>
    </w:p>
    <w:p>
      <w:pPr>
        <w:pStyle w:val="Heading2"/>
        <w:keepNext/>
      </w:pPr>
      <w:r>
        <w:t>Future reference laboratory</w:t>
      </w:r>
    </w:p>
    <w:p>
      <w:r>
        <w:t>The reference laboratory is a long-term capability connected to the human health research pathway. A specialist reference laboratory is a useful point of reference for expertise and reproducible methods, but Warrigal’s eventual remit should be defined by its own research questions and collaborators rather than copied from another organisation.</w:t>
      </w:r>
    </w:p>
    <w:p>
      <w:r>
        <w:t>A future laboratory or laboratory partnership could investigate a defined biological question arising from a case or research programme; examine specimens using appropriate documented methods; evaluate testing approaches; and retain sample identity, handling history, controls, quality records, raw findings and interpretation. Warrigal would connect each result to the consent, research question, sample, method and review behind it.</w:t>
      </w:r>
    </w:p>
    <w:p>
      <w:r>
        <w:t>There is a staged path: first build a sound research and case-study workspace; then work with qualified researchers, clinicians and established laboratories on defined questions; and only later consider whether an independent reference laboratory is justified. A research laboratory, a specialist testing partnership and a clinical pathology service are distinct undertakings. Any patient-care or diagnostic role would need to be defined and governed separately.</w:t>
      </w:r>
    </w:p>
    <w:p>
      <w:pPr>
        <w:pStyle w:val="Heading2"/>
        <w:keepNext/>
      </w:pPr>
      <w:r>
        <w:t>Creation path for the health area</w:t>
      </w:r>
    </w:p>
    <w:p>
      <w:r>
        <w:t>Begin with a human health research project using published material and non-identifiable example data. Demonstrate a question moving among biological levels, competing explanations, methods and a source-grounded report.</w:t>
      </w:r>
    </w:p>
    <w:p>
      <w:r>
        <w:t>Next, define the case-study and laboratory research records: what a case contains, how authority and access are recorded, how specimens and assays would be linked, and how uncertainty and quality problems appear in a result. Test the design before handling real participant information.</w:t>
      </w:r>
    </w:p>
    <w:p>
      <w:r>
        <w:t>Use collaborations and specific studies to learn which laboratory and participant workflows are genuinely needed. The possibility of a reference laboratory remains visible in the suite’s direction without claiming that a facility, accredited testing service or clinical pathway already exists.</w:t>
      </w:r>
    </w:p>
    <w:p>
      <w:pPr>
        <w:pStyle w:val="Heading1"/>
        <w:keepNext/>
      </w:pPr>
      <w:r>
        <w:t>6 Mathematical, sequence, audio and visual tools</w:t>
      </w:r>
    </w:p>
    <w:p>
      <w:r>
        <w:t>Warrigal has also been conceived as a suite of tools for exploring names, numbers, patterns, sequences and sound. The named tool directions are the Name Calculator, Vortex Sets, Audio Generator and Sequence Laboratory. They should be accessible in the broader suite and capable of evolving as their definitions and purposes become clearer.</w:t>
      </w:r>
    </w:p>
    <w:p>
      <w:pPr>
        <w:pStyle w:val="ListBullet"/>
      </w:pPr>
      <w:r>
        <w:t>Name Calculator: explore defined transformations of names or words, keeping the selected input, method and language rules visible.</w:t>
      </w:r>
    </w:p>
    <w:p>
      <w:pPr>
        <w:pStyle w:val="ListBullet"/>
      </w:pPr>
      <w:r>
        <w:t>Vortex Sets: examine defined numeric and pattern relationships with clear inputs, rules and outputs.</w:t>
      </w:r>
    </w:p>
    <w:p>
      <w:pPr>
        <w:pStyle w:val="ListBullet"/>
      </w:pPr>
      <w:r>
        <w:t>Sequence Laboratory: construct and inspect stages, mappings and transformations; keep the settings used for each run.</w:t>
      </w:r>
    </w:p>
    <w:p>
      <w:pPr>
        <w:pStyle w:val="ListBullet"/>
      </w:pPr>
      <w:r>
        <w:t>Audio Generator: turn defined inputs or sequences into sound, explore variations and retain the parameters and files produced.</w:t>
      </w:r>
    </w:p>
    <w:p>
      <w:r>
        <w:t>Visualisation can help inspect structures, movement and change. It should show which values or rules generated an image or sound. Experimental mathematical or visual interpretations should remain open to investigation rather than being presented as validated science without evidence.</w:t>
      </w:r>
    </w:p>
    <w:p>
      <w:r>
        <w:t>These tools may run independently or receive a defined input from a research project. A useful result can be saved back to that project as a derived artefact with its parameters, rather than replacing the source material from which the investigation began.</w:t>
      </w:r>
    </w:p>
    <w:p>
      <w:pPr>
        <w:pStyle w:val="Heading1"/>
        <w:keepNext/>
      </w:pPr>
      <w:r>
        <w:t>7 Evidence exploration and research intelligence</w:t>
      </w:r>
    </w:p>
    <w:p>
      <w:r>
        <w:t>As the archive and projects become usable together, Warrigal can help identify claims, entities, definitions, equations and relationships across sources. The point is to support inquiry: locate possible connections, compare support and conflict, identify gaps and formulate sharper questions. A knowledge view should make it easier to inspect how an idea is connected, not merely display a large network.</w:t>
      </w:r>
    </w:p>
    <w:p>
      <w:r>
        <w:t>Each extracted or suggested connection needs a status and a route back to the underlying material. A researcher should be able to disagree with a suggestion, revise it, mark it unresolved, or use it as the starting point for a defined test. This layer should make the archive intellectually useful while respecting the difference between evidence and inference.</w:t>
      </w:r>
    </w:p>
    <w:p>
      <w:pPr>
        <w:pStyle w:val="Heading1"/>
        <w:keepNext/>
      </w:pPr>
      <w:r>
        <w:t>8 Publishing and communication</w:t>
      </w:r>
    </w:p>
    <w:p>
      <w:r>
        <w:t>Warrigal should support developing research into reports, papers, ebooks, presentations, talks, visual material and other forms of communication. The publishing experience begins with choosing a project and a body of evidence, then developing an account of what was found. Layout and export are useful, but the central value is maintaining the relationship between the finished work and the investigation behind it.</w:t>
      </w:r>
    </w:p>
    <w:p>
      <w:r>
        <w:t>An output should retain the selected sources and analysis version used to create it. Citations and source context should remain reviewable. A later revision may use new evidence without overwriting the earlier research state. This is the capability direction explored through Designrr; the project does not depend on that product.</w:t>
      </w:r>
    </w:p>
    <w:p>
      <w:pPr>
        <w:pStyle w:val="Heading1"/>
        <w:keepNext/>
      </w:pPr>
      <w:r>
        <w:t>9 Project work and collaboration</w:t>
      </w:r>
    </w:p>
    <w:p>
      <w:r>
        <w:t>The suite also needs a way to organise the work around research and software creation. A goal can be broken into bounded tasks with relevant context, expected outcome, responsible person or agent, findings, review and next action. Tasks should connect to evidence or project material when that relationship exists.</w:t>
      </w:r>
    </w:p>
    <w:p>
      <w:r>
        <w:t>Work should be able to continue after an agent session ends. A handoff needs to preserve approved scope, what was completed, what remains, relevant state, tests or evidence, and outstanding decisions. Contributors can work on distinct pieces without taking ownership of the whole project. This is the project coordination direction explored through Build Power and the GitHub repositories brought into the discussion; particular external tools are possibilities to evaluate, not defining parts of Warrigal.</w:t>
      </w:r>
    </w:p>
    <w:p>
      <w:r>
        <w:t>The existing roles distinguish Warrigal implementation, independent review and JUFE runtime work. Clear boundaries help keep suggestions, implementation, review and acceptance from becoming the same unchecked action.</w:t>
      </w:r>
    </w:p>
    <w:p>
      <w:pPr>
        <w:pStyle w:val="Heading1"/>
        <w:keepNext/>
      </w:pPr>
      <w:r>
        <w:t>10 Relationship to JUFE and other systems</w:t>
      </w:r>
    </w:p>
    <w:p>
      <w:r>
        <w:t>JUFE has its own framework and runtime. Warrigal may later provide a selected passage, sequence or other explicitly defined input, and retain JUFE analysis as a derived result linked to that input. Such a connection should not merge the two systems or turn an analytical output into original source evidence.</w:t>
      </w:r>
    </w:p>
    <w:p>
      <w:r>
        <w:t>The same principle applies to future specialist tools. A tool should have a clear purpose, defined inputs and outputs, and an understandable place in the research journey. The suite can expand without forcing every domain to share one calculation or one interpretation.</w:t>
      </w:r>
    </w:p>
    <w:p>
      <w:pPr>
        <w:pStyle w:val="Heading1"/>
        <w:keepNext/>
      </w:pPr>
      <w:r>
        <w:t>11 What exists and what remains to be created</w:t>
      </w:r>
    </w:p>
    <w:p>
      <w:pPr>
        <w:pStyle w:val="ListBullet"/>
      </w:pPr>
      <w:r>
        <w:t>Acquisition, provenance and archive: substantial implemented foundation in the repository, with source-specific collection, preservation, indexing and tests.</w:t>
      </w:r>
    </w:p>
    <w:p>
      <w:pPr>
        <w:pStyle w:val="ListBullet"/>
      </w:pPr>
      <w:r>
        <w:t>Unified research experience: incomplete. Planning and retrieval components exist, but the full question-to-result workflow is not yet a finished interface.</w:t>
      </w:r>
    </w:p>
    <w:p>
      <w:pPr>
        <w:pStyle w:val="ListBullet"/>
      </w:pPr>
      <w:r>
        <w:t>Mycology, plant, human health, biology, chemistry and workshop experience: long-standing suite direction and earlier application areas; complete integrated workflows are not established by the current acquisition code.</w:t>
      </w:r>
    </w:p>
    <w:p>
      <w:pPr>
        <w:pStyle w:val="ListBullet"/>
      </w:pPr>
      <w:r>
        <w:t>Named calculators and generators: part of the suite direction and earlier work; individual maturity and integration need assessment tool by tool.</w:t>
      </w:r>
    </w:p>
    <w:p>
      <w:pPr>
        <w:pStyle w:val="ListBullet"/>
      </w:pPr>
      <w:r>
        <w:t>Research intelligence, publishing and project coordination: intended capabilities to develop, not completed production layers.</w:t>
      </w:r>
    </w:p>
    <w:p>
      <w:pPr>
        <w:pStyle w:val="ListBullet"/>
      </w:pPr>
      <w:r>
        <w:t>Authenticated Community comments: collector code pushed after controlled validation; four earlier stored passages need attribution repair, and the full campaign has not run.</w:t>
      </w:r>
    </w:p>
    <w:p>
      <w:r>
        <w:t>This distinction matters. Existing code should be recognised, but a working acquisition adapter should not be described as a completed scientific research suite. Equally, planned workspaces and tools should not disappear from the project description merely because recent development concentrated on the archive.</w:t>
      </w:r>
    </w:p>
    <w:p>
      <w:pPr>
        <w:pStyle w:val="Heading1"/>
        <w:keepNext/>
      </w:pPr>
      <w:r>
        <w:t>12 Creation path</w:t>
      </w:r>
    </w:p>
    <w:p>
      <w:pPr>
        <w:pStyle w:val="Heading2"/>
        <w:keepNext/>
      </w:pPr>
      <w:r>
        <w:t>First usable research project</w:t>
      </w:r>
    </w:p>
    <w:p>
      <w:r>
        <w:t>Connect a question, selected archived evidence, notes, interpretations and a traceable result in one project experience. This gives the suite a coherent working centre and reveals the most important interface gaps. A small complete journey is more informative than a large menu of disconnected features.</w:t>
      </w:r>
    </w:p>
    <w:p>
      <w:pPr>
        <w:pStyle w:val="Heading2"/>
        <w:keepNext/>
      </w:pPr>
      <w:r>
        <w:t>Domain research workflows</w:t>
      </w:r>
    </w:p>
    <w:p>
      <w:r>
        <w:t>Use a real mycology investigation to define the Mushroom Lab: an observation or specimen, evidence for identification or mechanism, a cultivation or practical experiment when relevant, dated results and an explicit conclusion or next question. Develop biology, chemistry and workshop records from similarly concrete work rather than guessing every field in advance. Apply the same project discipline to a plant investigation and to a human health research question using published or non-identifiable material before any participant-facing study.</w:t>
      </w:r>
    </w:p>
    <w:p>
      <w:pPr>
        <w:pStyle w:val="Heading2"/>
        <w:keepNext/>
      </w:pPr>
      <w:r>
        <w:t>Specialised tool connections</w:t>
      </w:r>
    </w:p>
    <w:p>
      <w:r>
        <w:t>Make the Name Calculator, Vortex Sets, Audio Generator and Sequence Laboratory accessible with clear inputs, rules and saved results. Connect a tool to a research project when its output has a defined research purpose. Preserve freedom to revise the tools as their methods develop.</w:t>
      </w:r>
    </w:p>
    <w:p>
      <w:pPr>
        <w:pStyle w:val="Heading2"/>
        <w:keepNext/>
      </w:pPr>
      <w:r>
        <w:t>Deeper analysis and creation</w:t>
      </w:r>
    </w:p>
    <w:p>
      <w:r>
        <w:t>Build evidence comparison and relationship exploration on top of source-linked projects. Then develop publishing and work coordination around those projects, so reports and tasks remain connected to actual research. Add external or cross-system integrations only where they enable a defined activity and can be evaluated against the suite’s own needs.</w:t>
      </w:r>
    </w:p>
    <w:p>
      <w:pPr>
        <w:pStyle w:val="Heading1"/>
        <w:keepNext/>
      </w:pPr>
      <w:r>
        <w:t>The intended outcome</w:t>
      </w:r>
    </w:p>
    <w:p>
      <w:r>
        <w:t>Warrigal should become a place where a research idea can be pursued seriously: material enters with its origin intact; observations and experiments develop over time; specialised tools help examine patterns and produce new artefacts; claims and uncertainties remain inspectable; and the resulting work can be shared or continued without losing its scientific history. Acquisition makes that possible, but the research process is the purpose of the suite.</w:t>
      </w:r>
    </w:p>
    <w:sectPr w:rsidR="00FC693F" w:rsidRPr="0006063C" w:rsidSect="00034616">
      <w:footerReference w:type="default" r:id="rId9"/>
      <w:pgSz w:w="12240" w:h="15840"/>
      <w:pgMar w:top="1037" w:right="1296" w:bottom="979"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Warrigal Research Suite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6"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