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pPr>
      <w:r>
        <w:drawing>
          <wp:inline distT="0" distB="0" distL="0" distR="0">
            <wp:extent cx="5715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81125"/>
                    </a:xfrm>
                    <a:prstGeom prst="rect">
                      <a:avLst/>
                    </a:prstGeom>
                  </pic:spPr>
                </pic:pic>
              </a:graphicData>
            </a:graphic>
          </wp:inline>
        </w:drawing>
      </w:r>
    </w:p>
    <w:p>
      <w:pPr>
        <w:spacing w:after="0" w:before="0"/>
      </w:pPr>
      <w:r>
        <w:rPr>
          <w:rFonts w:ascii="Calibri" w:cs="Calibri" w:eastAsia="Calibri" w:hAnsi="Calibri"/>
          <w:b/>
          <w:bCs/>
          <w:color w:val="2E9284"/>
          <w:sz w:val="22"/>
          <w:szCs w:val="22"/>
        </w:rPr>
        <w:t xml:space="preserve">ERLEBNIS-WORKSHOP · PSYCHISCHE GESUNDHEIT</w:t>
      </w:r>
    </w:p>
    <w:p>
      <w:pPr>
        <w:spacing w:after="200" w:before="240"/>
      </w:pPr>
      <w:r>
        <w:rPr>
          <w:rFonts w:ascii="Cambria" w:cs="Cambria" w:eastAsia="Cambria" w:hAnsi="Cambria"/>
          <w:b/>
          <w:bCs/>
          <w:color w:val="2C7A6B"/>
          <w:sz w:val="60"/>
          <w:szCs w:val="60"/>
        </w:rPr>
        <w:t xml:space="preserve">Arbeitsblätter &amp;</w:t>
      </w:r>
    </w:p>
    <w:p>
      <w:pPr>
        <w:spacing w:after="200"/>
      </w:pPr>
      <w:r>
        <w:rPr>
          <w:rFonts w:ascii="Cambria" w:cs="Cambria" w:eastAsia="Cambria" w:hAnsi="Cambria"/>
          <w:b/>
          <w:bCs/>
          <w:color w:val="2C7A6B"/>
          <w:sz w:val="60"/>
          <w:szCs w:val="60"/>
        </w:rPr>
        <w:t xml:space="preserve">Kopiervorlagen</w:t>
      </w:r>
    </w:p>
    <w:p>
      <w:pPr>
        <w:spacing w:after="300"/>
      </w:pPr>
      <w:r>
        <w:rPr>
          <w:rFonts w:ascii="Cambria" w:cs="Cambria" w:eastAsia="Cambria" w:hAnsi="Cambria"/>
          <w:i/>
          <w:iCs/>
          <w:color w:val="2E9284"/>
          <w:sz w:val="26"/>
          <w:szCs w:val="26"/>
        </w:rPr>
        <w:t xml:space="preserve">zum Workshop „Man sieht es mir nicht an“</w:t>
      </w:r>
    </w:p>
    <w:p>
      <w:pPr>
        <w:pBdr>
          <w:top w:val="single" w:color="D9E9E1" w:sz="8" w:space="8"/>
        </w:pBdr>
        <w:spacing w:after="200" w:before="200"/>
      </w:pPr>
    </w:p>
    <w:p>
      <w:pPr>
        <w:spacing w:after="120" w:before="0" w:line="276"/>
      </w:pPr>
      <w:r>
        <w:rPr>
          <w:rFonts w:ascii="Calibri" w:cs="Calibri" w:eastAsia="Calibri" w:hAnsi="Calibri"/>
          <w:color w:val="23423C"/>
          <w:sz w:val="23"/>
          <w:szCs w:val="23"/>
        </w:rPr>
        <w:t xml:space="preserve">Alle Vorlagen sind zum Ausdrucken und Kopieren gedacht. Kopieren Sie in Klassenstärke (Teilnehmerzahl + Reserve). Die gestrichelten Karten können ausgeschnitten werden.</w:t>
      </w:r>
    </w:p>
    <w:p>
      <w:pPr>
        <w:spacing w:after="40" w:before="120"/>
      </w:pPr>
      <w:r>
        <w:rPr>
          <w:rFonts w:ascii="Cambria" w:cs="Cambria" w:eastAsia="Cambria" w:hAnsi="Cambria"/>
          <w:b/>
          <w:bCs/>
          <w:color w:val="BC722A"/>
          <w:sz w:val="22"/>
          <w:szCs w:val="22"/>
        </w:rPr>
        <w:t xml:space="preserve">Inhalt</w:t>
      </w:r>
    </w:p>
    <w:p>
      <w:pPr>
        <w:pStyle w:val="ListParagraph"/>
        <w:numPr>
          <w:ilvl w:val="0"/>
          <w:numId w:val="1"/>
        </w:numPr>
        <w:spacing w:after="40" w:line="264"/>
      </w:pPr>
      <w:r>
        <w:rPr>
          <w:rFonts w:ascii="Calibri" w:cs="Calibri" w:eastAsia="Calibri" w:hAnsi="Calibri"/>
          <w:color w:val="23423C"/>
          <w:sz w:val="23"/>
          <w:szCs w:val="23"/>
        </w:rPr>
        <w:t xml:space="preserve">A1  Teilnehmer-Handout: Kernbotschaften &amp; Bilder</w:t>
      </w:r>
    </w:p>
    <w:p>
      <w:pPr>
        <w:pStyle w:val="ListParagraph"/>
        <w:numPr>
          <w:ilvl w:val="0"/>
          <w:numId w:val="1"/>
        </w:numPr>
        <w:spacing w:after="40" w:line="264"/>
      </w:pPr>
      <w:r>
        <w:rPr>
          <w:rFonts w:ascii="Calibri" w:cs="Calibri" w:eastAsia="Calibri" w:hAnsi="Calibri"/>
          <w:color w:val="23423C"/>
          <w:sz w:val="23"/>
          <w:szCs w:val="23"/>
        </w:rPr>
        <w:t xml:space="preserve">A2  Perspektivkarte „Ein Tag mit Depression“</w:t>
      </w:r>
    </w:p>
    <w:p>
      <w:pPr>
        <w:pStyle w:val="ListParagraph"/>
        <w:numPr>
          <w:ilvl w:val="0"/>
          <w:numId w:val="1"/>
        </w:numPr>
        <w:spacing w:after="40" w:line="264"/>
      </w:pPr>
      <w:r>
        <w:rPr>
          <w:rFonts w:ascii="Calibri" w:cs="Calibri" w:eastAsia="Calibri" w:hAnsi="Calibri"/>
          <w:color w:val="23423C"/>
          <w:sz w:val="23"/>
          <w:szCs w:val="23"/>
        </w:rPr>
        <w:t xml:space="preserve">A3  Mythos oder Wahrheit? – Aussagen &amp; Auflösung</w:t>
      </w:r>
    </w:p>
    <w:p>
      <w:pPr>
        <w:pStyle w:val="ListParagraph"/>
        <w:numPr>
          <w:ilvl w:val="0"/>
          <w:numId w:val="1"/>
        </w:numPr>
        <w:spacing w:after="40" w:line="264"/>
      </w:pPr>
      <w:r>
        <w:rPr>
          <w:rFonts w:ascii="Calibri" w:cs="Calibri" w:eastAsia="Calibri" w:hAnsi="Calibri"/>
          <w:color w:val="23423C"/>
          <w:sz w:val="23"/>
          <w:szCs w:val="23"/>
        </w:rPr>
        <w:t xml:space="preserve">A4  Rollenspiel: Situationskarten</w:t>
      </w:r>
    </w:p>
    <w:p>
      <w:pPr>
        <w:pStyle w:val="ListParagraph"/>
        <w:numPr>
          <w:ilvl w:val="0"/>
          <w:numId w:val="1"/>
        </w:numPr>
        <w:spacing w:after="40" w:line="264"/>
      </w:pPr>
      <w:r>
        <w:rPr>
          <w:rFonts w:ascii="Calibri" w:cs="Calibri" w:eastAsia="Calibri" w:hAnsi="Calibri"/>
          <w:color w:val="23423C"/>
          <w:sz w:val="23"/>
          <w:szCs w:val="23"/>
        </w:rPr>
        <w:t xml:space="preserve">A5  Rollenspiel: Beobachtungsbogen</w:t>
      </w:r>
    </w:p>
    <w:p>
      <w:pPr>
        <w:pStyle w:val="ListParagraph"/>
        <w:numPr>
          <w:ilvl w:val="0"/>
          <w:numId w:val="1"/>
        </w:numPr>
        <w:spacing w:after="40" w:line="264"/>
      </w:pPr>
      <w:r>
        <w:rPr>
          <w:rFonts w:ascii="Calibri" w:cs="Calibri" w:eastAsia="Calibri" w:hAnsi="Calibri"/>
          <w:color w:val="23423C"/>
          <w:sz w:val="23"/>
          <w:szCs w:val="23"/>
        </w:rPr>
        <w:t xml:space="preserve">A6  Fallbeispiele für Kleingruppen</w:t>
      </w:r>
    </w:p>
    <w:p>
      <w:pPr>
        <w:pStyle w:val="ListParagraph"/>
        <w:numPr>
          <w:ilvl w:val="0"/>
          <w:numId w:val="1"/>
        </w:numPr>
        <w:spacing w:after="40" w:line="264"/>
      </w:pPr>
      <w:r>
        <w:rPr>
          <w:rFonts w:ascii="Calibri" w:cs="Calibri" w:eastAsia="Calibri" w:hAnsi="Calibri"/>
          <w:color w:val="23423C"/>
          <w:sz w:val="23"/>
          <w:szCs w:val="23"/>
        </w:rPr>
        <w:t xml:space="preserve">A7  Körpersprache erkennen</w:t>
      </w:r>
    </w:p>
    <w:p>
      <w:pPr>
        <w:pStyle w:val="ListParagraph"/>
        <w:numPr>
          <w:ilvl w:val="0"/>
          <w:numId w:val="1"/>
        </w:numPr>
        <w:spacing w:after="40" w:line="264"/>
      </w:pPr>
      <w:r>
        <w:rPr>
          <w:rFonts w:ascii="Calibri" w:cs="Calibri" w:eastAsia="Calibri" w:hAnsi="Calibri"/>
          <w:color w:val="23423C"/>
          <w:sz w:val="23"/>
          <w:szCs w:val="23"/>
        </w:rPr>
        <w:t xml:space="preserve">A8  Ampelübung: Belastung einschätzen</w:t>
      </w:r>
    </w:p>
    <w:p>
      <w:pPr>
        <w:pStyle w:val="ListParagraph"/>
        <w:numPr>
          <w:ilvl w:val="0"/>
          <w:numId w:val="1"/>
        </w:numPr>
        <w:spacing w:after="40" w:line="264"/>
      </w:pPr>
      <w:r>
        <w:rPr>
          <w:rFonts w:ascii="Calibri" w:cs="Calibri" w:eastAsia="Calibri" w:hAnsi="Calibri"/>
          <w:color w:val="23423C"/>
          <w:sz w:val="23"/>
          <w:szCs w:val="23"/>
        </w:rPr>
        <w:t xml:space="preserve">A9  Reflexionsbogen</w:t>
      </w:r>
    </w:p>
    <w:p>
      <w:pPr>
        <w:pStyle w:val="ListParagraph"/>
        <w:numPr>
          <w:ilvl w:val="0"/>
          <w:numId w:val="1"/>
        </w:numPr>
        <w:spacing w:after="40" w:line="264"/>
      </w:pPr>
      <w:r>
        <w:rPr>
          <w:rFonts w:ascii="Calibri" w:cs="Calibri" w:eastAsia="Calibri" w:hAnsi="Calibri"/>
          <w:color w:val="23423C"/>
          <w:sz w:val="23"/>
          <w:szCs w:val="23"/>
        </w:rPr>
        <w:t xml:space="preserve">A10 Anlaufstellen in Österreich (zum Mitnehmen)</w:t>
      </w:r>
    </w:p>
    <w:p>
      <w:r>
        <w:br w:type="page"/>
      </w:r>
    </w:p>
    <w:p>
      <w:pPr>
        <w:pStyle w:val="Heading1"/>
      </w:pPr>
      <w:r>
        <w:t xml:space="preserve">A1 · Teilnehmer-Handout: Kernbotschaften &amp; Bilder</w:t>
      </w:r>
    </w:p>
    <w:p>
      <w:pPr>
        <w:spacing w:after="120" w:before="0" w:line="276"/>
      </w:pPr>
      <w:r>
        <w:rPr>
          <w:rFonts w:ascii="Calibri" w:cs="Calibri" w:eastAsia="Calibri" w:hAnsi="Calibri"/>
          <w:color w:val="23423C"/>
          <w:sz w:val="23"/>
          <w:szCs w:val="23"/>
        </w:rPr>
        <w:t xml:space="preserve">Zum Mitnehmen. Die wichtigsten Gedanken und Bilder aus dem Workshop auf einen Blick.</w:t>
      </w:r>
    </w:p>
    <w:p>
      <w:pPr>
        <w:pStyle w:val="Heading2"/>
      </w:pPr>
      <w:r>
        <w:t xml:space="preserve">Fünf Erkrankungen – fünf Bilder</w:t>
      </w:r>
    </w:p>
    <w:tbl>
      <w:tblPr>
        <w:tblW w:type="dxa" w:w="9360"/>
        <w:tblBorders>
          <w:top w:val="single" w:color="D9E9E1" w:sz="2"/>
          <w:left w:val="single" w:color="D9E9E1" w:sz="2"/>
          <w:bottom w:val="single" w:color="D9E9E1" w:sz="2"/>
          <w:right w:val="single" w:color="D9E9E1" w:sz="2"/>
          <w:insideH w:val="single" w:color="D9E9E1" w:sz="2"/>
          <w:insideV w:val="single" w:color="D9E9E1" w:sz="2"/>
        </w:tblBorders>
      </w:tblPr>
      <w:tblGrid>
        <w:gridCol w:w="2000"/>
        <w:gridCol w:w="3000"/>
        <w:gridCol w:w="4360"/>
      </w:tblGrid>
      <w:tr>
        <w:trPr>
          <w:tblHeader/>
        </w:trPr>
        <w:tc>
          <w:tcPr>
            <w:tcW w:type="dxa" w:w="20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Erkrankung</w:t>
            </w:r>
          </w:p>
        </w:tc>
        <w:tc>
          <w:tcPr>
            <w:tcW w:type="dxa" w:w="30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Bild</w:t>
            </w:r>
          </w:p>
        </w:tc>
        <w:tc>
          <w:tcPr>
            <w:tcW w:type="dxa" w:w="436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Kern in einem Satz</w:t>
            </w:r>
          </w:p>
        </w:tc>
      </w:tr>
      <w:tr>
        <w:tc>
          <w:tcPr>
            <w:tcW w:type="dxa" w:w="2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Depression</w:t>
            </w:r>
          </w:p>
        </w:tc>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Unsichtbarer Rucksack / Graufilter</w:t>
            </w:r>
          </w:p>
        </w:tc>
        <w:tc>
          <w:tcPr>
            <w:tcW w:type="dxa" w:w="43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Nicht traurig, sondern leer und bleischwer – jede Kleinigkeit kostet Kraft.</w:t>
            </w:r>
          </w:p>
        </w:tc>
      </w:tr>
      <w:tr>
        <w:tc>
          <w:tcPr>
            <w:tcW w:type="dxa" w:w="200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Angst &amp; Panik</w:t>
            </w:r>
          </w:p>
        </w:tc>
        <w:tc>
          <w:tcPr>
            <w:tcW w:type="dxa" w:w="3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Rauchmelder ohne Feuer</w:t>
            </w:r>
          </w:p>
        </w:tc>
        <w:tc>
          <w:tcPr>
            <w:tcW w:type="dxa" w:w="436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Der Alarm ist echt, die Gefahr nicht – man kann sie sich nicht ausreden.</w:t>
            </w:r>
          </w:p>
        </w:tc>
      </w:tr>
      <w:tr>
        <w:tc>
          <w:tcPr>
            <w:tcW w:type="dxa" w:w="2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Burnout</w:t>
            </w:r>
          </w:p>
        </w:tc>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Erloschenes Feuer</w:t>
            </w:r>
          </w:p>
        </w:tc>
        <w:tc>
          <w:tcPr>
            <w:tcW w:type="dxa" w:w="43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Ausgebrannt nach zu langem Geben – trifft die Engagierten, nicht die Faulen.</w:t>
            </w:r>
          </w:p>
        </w:tc>
      </w:tr>
      <w:tr>
        <w:tc>
          <w:tcPr>
            <w:tcW w:type="dxa" w:w="200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PTBS</w:t>
            </w:r>
          </w:p>
        </w:tc>
        <w:tc>
          <w:tcPr>
            <w:tcW w:type="dxa" w:w="3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Alarmanlage in der Zeit</w:t>
            </w:r>
          </w:p>
        </w:tc>
        <w:tc>
          <w:tcPr>
            <w:tcW w:type="dxa" w:w="436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Ein Trigger – und der Körper verwechselt Vergangenheit mit Gegenwart.</w:t>
            </w:r>
          </w:p>
        </w:tc>
      </w:tr>
      <w:tr>
        <w:tc>
          <w:tcPr>
            <w:tcW w:type="dxa" w:w="2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Bipolare Störung</w:t>
            </w:r>
          </w:p>
        </w:tc>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Gezeiten</w:t>
            </w:r>
          </w:p>
        </w:tc>
        <w:tc>
          <w:tcPr>
            <w:tcW w:type="dxa" w:w="43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Echte Phasen zwischen Hoch und Tief – gut behandelbar.</w:t>
            </w:r>
          </w:p>
        </w:tc>
      </w:tr>
    </w:tbl>
    <w:p>
      <w:pPr>
        <w:pStyle w:val="Heading2"/>
      </w:pPr>
      <w:r>
        <w:t xml:space="preserve">Vier Dinge, die bleiben sollen</w:t>
      </w:r>
    </w:p>
    <w:p>
      <w:pPr>
        <w:pStyle w:val="ListParagraph"/>
        <w:numPr>
          <w:ilvl w:val="0"/>
          <w:numId w:val="1"/>
        </w:numPr>
        <w:spacing w:after="70" w:line="264"/>
      </w:pPr>
      <w:r>
        <w:rPr>
          <w:rFonts w:ascii="Calibri" w:cs="Calibri" w:eastAsia="Calibri" w:hAnsi="Calibri"/>
          <w:b/>
          <w:bCs/>
          <w:color w:val="23423C"/>
          <w:sz w:val="23"/>
          <w:szCs w:val="23"/>
        </w:rPr>
        <w:t xml:space="preserve">Unsichtbar heißt nicht unecht. </w:t>
      </w:r>
      <w:r>
        <w:rPr>
          <w:rFonts w:ascii="Calibri" w:cs="Calibri" w:eastAsia="Calibri" w:hAnsi="Calibri"/>
          <w:color w:val="23423C"/>
          <w:sz w:val="23"/>
          <w:szCs w:val="23"/>
        </w:rPr>
        <w:t xml:space="preserve">Nur weil man es nicht sieht, ist es nicht weniger schwer.</w:t>
      </w:r>
    </w:p>
    <w:p>
      <w:pPr>
        <w:pStyle w:val="ListParagraph"/>
        <w:numPr>
          <w:ilvl w:val="0"/>
          <w:numId w:val="1"/>
        </w:numPr>
        <w:spacing w:after="70" w:line="264"/>
      </w:pPr>
      <w:r>
        <w:rPr>
          <w:rFonts w:ascii="Calibri" w:cs="Calibri" w:eastAsia="Calibri" w:hAnsi="Calibri"/>
          <w:b/>
          <w:bCs/>
          <w:color w:val="23423C"/>
          <w:sz w:val="23"/>
          <w:szCs w:val="23"/>
        </w:rPr>
        <w:t xml:space="preserve">Es ist Krankheit, nicht Wille. </w:t>
      </w:r>
      <w:r>
        <w:rPr>
          <w:rFonts w:ascii="Calibri" w:cs="Calibri" w:eastAsia="Calibri" w:hAnsi="Calibri"/>
          <w:color w:val="23423C"/>
          <w:sz w:val="23"/>
          <w:szCs w:val="23"/>
        </w:rPr>
        <w:t xml:space="preserve">„Zusammenreißen“ ist keine Behandlung – so wenig wie bei einem Beinbruch.</w:t>
      </w:r>
    </w:p>
    <w:p>
      <w:pPr>
        <w:pStyle w:val="ListParagraph"/>
        <w:numPr>
          <w:ilvl w:val="0"/>
          <w:numId w:val="1"/>
        </w:numPr>
        <w:spacing w:after="70" w:line="264"/>
      </w:pPr>
      <w:r>
        <w:rPr>
          <w:rFonts w:ascii="Calibri" w:cs="Calibri" w:eastAsia="Calibri" w:hAnsi="Calibri"/>
          <w:b/>
          <w:bCs/>
          <w:color w:val="23423C"/>
          <w:sz w:val="23"/>
          <w:szCs w:val="23"/>
        </w:rPr>
        <w:t xml:space="preserve">Da sein schlägt Ratschlag. </w:t>
      </w:r>
      <w:r>
        <w:rPr>
          <w:rFonts w:ascii="Calibri" w:cs="Calibri" w:eastAsia="Calibri" w:hAnsi="Calibri"/>
          <w:color w:val="23423C"/>
          <w:sz w:val="23"/>
          <w:szCs w:val="23"/>
        </w:rPr>
        <w:t xml:space="preserve">Zuhören, ernst nehmen, bleiben – das kann jede:r.</w:t>
      </w:r>
    </w:p>
    <w:p>
      <w:pPr>
        <w:pStyle w:val="ListParagraph"/>
        <w:numPr>
          <w:ilvl w:val="0"/>
          <w:numId w:val="1"/>
        </w:numPr>
        <w:spacing w:after="70" w:line="264"/>
      </w:pPr>
      <w:r>
        <w:rPr>
          <w:rFonts w:ascii="Calibri" w:cs="Calibri" w:eastAsia="Calibri" w:hAnsi="Calibri"/>
          <w:b/>
          <w:bCs/>
          <w:color w:val="23423C"/>
          <w:sz w:val="23"/>
          <w:szCs w:val="23"/>
        </w:rPr>
        <w:t xml:space="preserve">Besserung ist möglich. </w:t>
      </w:r>
      <w:r>
        <w:rPr>
          <w:rFonts w:ascii="Calibri" w:cs="Calibri" w:eastAsia="Calibri" w:hAnsi="Calibri"/>
          <w:color w:val="23423C"/>
          <w:sz w:val="23"/>
          <w:szCs w:val="23"/>
        </w:rPr>
        <w:t xml:space="preserve">Mit Hilfe führt aus fast jeder Krise ein Weg heraus.</w:t>
      </w:r>
    </w:p>
    <w:p>
      <w:pPr>
        <w:pStyle w:val="Heading2"/>
      </w:pPr>
      <w:r>
        <w:t xml:space="preserve">Sag lieber … statt …</w:t>
      </w:r>
    </w:p>
    <w:tbl>
      <w:tblPr>
        <w:tblW w:type="dxa" w:w="9360"/>
        <w:tblBorders>
          <w:top w:val="single" w:color="D9E9E1" w:sz="2"/>
          <w:left w:val="single" w:color="D9E9E1" w:sz="2"/>
          <w:bottom w:val="single" w:color="D9E9E1" w:sz="2"/>
          <w:right w:val="single" w:color="D9E9E1" w:sz="2"/>
          <w:insideH w:val="single" w:color="D9E9E1" w:sz="2"/>
          <w:insideV w:val="single" w:color="D9E9E1" w:sz="2"/>
        </w:tblBorders>
      </w:tblPr>
      <w:tblGrid>
        <w:gridCol w:w="4680"/>
        <w:gridCol w:w="4680"/>
      </w:tblGrid>
      <w:tr>
        <w:trPr>
          <w:tblHeader/>
        </w:trPr>
        <w:tc>
          <w:tcPr>
            <w:tcW w:type="dxa" w:w="468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Statt …</w:t>
            </w:r>
          </w:p>
        </w:tc>
        <w:tc>
          <w:tcPr>
            <w:tcW w:type="dxa" w:w="468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Sag lieber …</w:t>
            </w:r>
          </w:p>
        </w:tc>
      </w:tr>
      <w:tr>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color w:val="23423C"/>
                <w:sz w:val="22"/>
                <w:szCs w:val="22"/>
              </w:rPr>
              <w:t xml:space="preserve">„Das wird schon wieder.“</w:t>
            </w:r>
          </w:p>
        </w:tc>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„Ich bin da – auch wenn’s dauert.“</w:t>
            </w:r>
          </w:p>
        </w:tc>
      </w:tr>
      <w:tr>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color w:val="23423C"/>
                <w:sz w:val="22"/>
                <w:szCs w:val="22"/>
              </w:rPr>
              <w:t xml:space="preserve">„Denk positiv!“</w:t>
            </w:r>
          </w:p>
        </w:tc>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„Du musst das nicht allein tragen.“</w:t>
            </w:r>
          </w:p>
        </w:tc>
      </w:tr>
      <w:tr>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color w:val="23423C"/>
                <w:sz w:val="22"/>
                <w:szCs w:val="22"/>
              </w:rPr>
              <w:t xml:space="preserve">„Was hast du denn?“</w:t>
            </w:r>
          </w:p>
        </w:tc>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„Magst du erzählen, wie es dir geht?“</w:t>
            </w:r>
          </w:p>
        </w:tc>
      </w:tr>
      <w:tr>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color w:val="23423C"/>
                <w:sz w:val="22"/>
                <w:szCs w:val="22"/>
              </w:rPr>
              <w:t xml:space="preserve">„Reiß dich zusammen.“</w:t>
            </w:r>
          </w:p>
        </w:tc>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„Was würde dir gerade helfen?“</w:t>
            </w:r>
          </w:p>
        </w:tc>
      </w:tr>
    </w:tbl>
    <w:tbl>
      <w:tblPr>
        <w:tblW w:type="dxa" w:w="9360"/>
        <w:tblBorders>
          <w:top w:val="single" w:color="F8EEDD" w:sz="2"/>
          <w:left w:val="single" w:color="BC722A" w:sz="18"/>
          <w:bottom w:val="single" w:color="F8EEDD" w:sz="2"/>
          <w:right w:val="single" w:color="F8EEDD" w:sz="2"/>
          <w:insideH w:val="none"/>
          <w:insideV w:val="none"/>
        </w:tblBorders>
      </w:tblPr>
      <w:tblGrid>
        <w:gridCol w:w="9360"/>
      </w:tblGrid>
      <w:tr>
        <w:tc>
          <w:tcPr>
            <w:tcW w:type="dxa" w:w="9360"/>
            <w:shd w:fill="F8EEDD" w:color="auto" w:val="clear"/>
            <w:tcMar>
              <w:top w:type="dxa" w:w="140"/>
              <w:left w:type="dxa" w:w="200"/>
              <w:bottom w:type="dxa" w:w="140"/>
              <w:right w:type="dxa" w:w="200"/>
            </w:tcMar>
          </w:tcPr>
          <w:p>
            <w:pPr>
              <w:spacing w:after="60"/>
            </w:pPr>
            <w:r>
              <w:rPr>
                <w:rFonts w:ascii="Cambria" w:cs="Cambria" w:eastAsia="Cambria" w:hAnsi="Cambria"/>
                <w:b/>
                <w:bCs/>
                <w:color w:val="BC722A"/>
                <w:sz w:val="24"/>
                <w:szCs w:val="24"/>
              </w:rPr>
              <w:t xml:space="preserve">Im Notfall</w:t>
            </w:r>
          </w:p>
          <w:p>
            <w:pPr>
              <w:spacing w:after="0" w:before="0" w:line="276"/>
            </w:pPr>
            <w:r>
              <w:rPr>
                <w:rFonts w:ascii="Calibri" w:cs="Calibri" w:eastAsia="Calibri" w:hAnsi="Calibri"/>
                <w:b/>
                <w:bCs/>
                <w:color w:val="BC722A"/>
                <w:sz w:val="22"/>
                <w:szCs w:val="22"/>
              </w:rPr>
              <w:t xml:space="preserve">Rettung 144 · Euronotruf 112 · Telefonseelsorge 142 </w:t>
            </w:r>
            <w:r>
              <w:rPr>
                <w:rFonts w:ascii="Calibri" w:cs="Calibri" w:eastAsia="Calibri" w:hAnsi="Calibri"/>
                <w:color w:val="23423C"/>
                <w:sz w:val="23"/>
                <w:szCs w:val="23"/>
              </w:rPr>
              <w:t xml:space="preserve">(24 h, kostenlos, anonym)</w:t>
            </w:r>
          </w:p>
        </w:tc>
      </w:tr>
    </w:tbl>
    <w:p>
      <w:r>
        <w:br w:type="page"/>
      </w:r>
    </w:p>
    <w:p>
      <w:pPr>
        <w:pStyle w:val="Heading1"/>
      </w:pPr>
      <w:r>
        <w:t xml:space="preserve">A2 · Perspektivkarte: „Ein Tag mit Depression“</w:t>
      </w:r>
    </w:p>
    <w:p>
      <w:pPr>
        <w:spacing w:after="120" w:before="0" w:line="276"/>
      </w:pPr>
      <w:r>
        <w:rPr>
          <w:rFonts w:ascii="Calibri" w:cs="Calibri" w:eastAsia="Calibri" w:hAnsi="Calibri"/>
          <w:color w:val="23423C"/>
          <w:sz w:val="23"/>
          <w:szCs w:val="23"/>
        </w:rPr>
        <w:t xml:space="preserve">Lesen Sie den Tagesablauf still. Grundregel: Jede Aufgabe kostet „+15 kg“ – wie ein unsichtbarer Rucksack voller Steine. Kein Schauspiel – nur mitlesen und spüren.</w:t>
      </w:r>
    </w:p>
    <w:tbl>
      <w:tblPr>
        <w:tblW w:type="dxa" w:w="9360"/>
        <w:tblBorders>
          <w:top w:val="dashSmallGap" w:color="2E9284" w:sz="6"/>
          <w:left w:val="dashSmallGap" w:color="2E9284" w:sz="6"/>
          <w:bottom w:val="dashSmallGap" w:color="2E9284" w:sz="6"/>
          <w:right w:val="dashSmallGap" w:color="2E9284" w:sz="6"/>
          <w:insideH w:val="none"/>
          <w:insideV w:val="none"/>
        </w:tblBorders>
      </w:tblPr>
      <w:tblGrid>
        <w:gridCol w:w="9360"/>
      </w:tblGrid>
      <w:tr>
        <w:tc>
          <w:tcPr>
            <w:tcW w:type="dxa" w:w="9360"/>
            <w:shd w:fill="F1F8F4" w:color="auto" w:val="clear"/>
            <w:tcMar>
              <w:top w:type="dxa" w:w="160"/>
              <w:left w:type="dxa" w:w="220"/>
              <w:bottom w:type="dxa" w:w="160"/>
              <w:right w:type="dxa" w:w="220"/>
            </w:tcMar>
          </w:tcPr>
          <w:p>
            <w:pPr>
              <w:spacing w:after="80"/>
            </w:pPr>
            <w:r>
              <w:rPr>
                <w:rFonts w:ascii="Cambria" w:cs="Cambria" w:eastAsia="Cambria" w:hAnsi="Cambria"/>
                <w:b/>
                <w:bCs/>
                <w:color w:val="2C7A6B"/>
                <w:sz w:val="24"/>
                <w:szCs w:val="24"/>
              </w:rPr>
              <w:t xml:space="preserve">Ein ganz normaler Tag – mit +15 kg auf allem</w:t>
            </w:r>
          </w:p>
          <w:p>
            <w:pPr>
              <w:spacing w:after="100" w:before="0" w:line="276"/>
            </w:pPr>
            <w:r>
              <w:rPr>
                <w:rFonts w:ascii="Calibri" w:cs="Calibri" w:eastAsia="Calibri" w:hAnsi="Calibri"/>
                <w:color w:val="23423C"/>
                <w:sz w:val="23"/>
                <w:szCs w:val="23"/>
              </w:rPr>
              <w:t xml:space="preserve">06:30 — Der Wecker klingelt. Du bist wach, aber wie unter einer nassen Decke. Aufstehen fühlt sich an wie Gewichtheben. Du bleibst liegen. Der erste Gedanke: „Ich schaffe das heute nicht.“</w:t>
            </w:r>
          </w:p>
          <w:p>
            <w:pPr>
              <w:spacing w:after="100" w:before="0" w:line="276"/>
            </w:pPr>
            <w:r>
              <w:rPr>
                <w:rFonts w:ascii="Calibri" w:cs="Calibri" w:eastAsia="Calibri" w:hAnsi="Calibri"/>
                <w:color w:val="23423C"/>
                <w:sz w:val="23"/>
                <w:szCs w:val="23"/>
              </w:rPr>
              <w:t xml:space="preserve">07:30 — Duschen, Anziehen, Zähneputzen – Handgriffe, die früher nebenbei liefen, wollen einzeln erkämpft werden. Frühstück? Kein Hunger, kein Geschmack.</w:t>
            </w:r>
          </w:p>
          <w:p>
            <w:pPr>
              <w:spacing w:after="100" w:before="0" w:line="276"/>
            </w:pPr>
            <w:r>
              <w:rPr>
                <w:rFonts w:ascii="Calibri" w:cs="Calibri" w:eastAsia="Calibri" w:hAnsi="Calibri"/>
                <w:color w:val="23423C"/>
                <w:sz w:val="23"/>
                <w:szCs w:val="23"/>
              </w:rPr>
              <w:t xml:space="preserve">09:00 — Bei der Arbeit / unter Menschen setzt du dein Lächeln auf. Niemand soll etwas merken. Das kostet die meiste Kraft von allem. Innerlich zählst du die Stunden.</w:t>
            </w:r>
          </w:p>
          <w:p>
            <w:pPr>
              <w:spacing w:after="100" w:before="0" w:line="276"/>
            </w:pPr>
            <w:r>
              <w:rPr>
                <w:rFonts w:ascii="Calibri" w:cs="Calibri" w:eastAsia="Calibri" w:hAnsi="Calibri"/>
                <w:color w:val="23423C"/>
                <w:sz w:val="23"/>
                <w:szCs w:val="23"/>
              </w:rPr>
              <w:t xml:space="preserve">13:00 — Eine Kollegin fragt, ob du mittagessen kommst. Du sagst ab. Nicht, weil du sie nicht magst – die Kraft für Menschen ist heute einfach aufgebraucht.</w:t>
            </w:r>
          </w:p>
          <w:p>
            <w:pPr>
              <w:spacing w:after="100" w:before="0" w:line="276"/>
            </w:pPr>
            <w:r>
              <w:rPr>
                <w:rFonts w:ascii="Calibri" w:cs="Calibri" w:eastAsia="Calibri" w:hAnsi="Calibri"/>
                <w:color w:val="23423C"/>
                <w:sz w:val="23"/>
                <w:szCs w:val="23"/>
              </w:rPr>
              <w:t xml:space="preserve">17:00 — Der Weg nach Hause zieht sich. Die Einkäufe, die du erledigen wolltest – morgen. Vielleicht.</w:t>
            </w:r>
          </w:p>
          <w:p>
            <w:pPr>
              <w:spacing w:after="100" w:before="0" w:line="276"/>
            </w:pPr>
            <w:r>
              <w:rPr>
                <w:rFonts w:ascii="Calibri" w:cs="Calibri" w:eastAsia="Calibri" w:hAnsi="Calibri"/>
                <w:color w:val="23423C"/>
                <w:sz w:val="23"/>
                <w:szCs w:val="23"/>
              </w:rPr>
              <w:t xml:space="preserve">20:00 — Auf dem Sofa. Der Film, den du liebst, lässt dich kalt. Freude fühlt sich an wie ein Wort in einer fremden Sprache. Die To-do-Liste schaut dich an.</w:t>
            </w:r>
          </w:p>
          <w:p>
            <w:pPr>
              <w:spacing w:after="0" w:before="0" w:line="276"/>
            </w:pPr>
            <w:r>
              <w:rPr>
                <w:rFonts w:ascii="Calibri" w:cs="Calibri" w:eastAsia="Calibri" w:hAnsi="Calibri"/>
                <w:color w:val="23423C"/>
                <w:sz w:val="23"/>
                <w:szCs w:val="23"/>
              </w:rPr>
              <w:t xml:space="preserve">23:30 — Du bist erschöpft, aber der Schlaf kommt nicht. Die Gedanken drehen sich: „Warum kriege ich mein Leben nicht auf die Reihe? Alle anderen schaffen das doch.“</w:t>
            </w:r>
          </w:p>
        </w:tc>
      </w:tr>
    </w:tbl>
    <w:p>
      <w:pPr>
        <w:pStyle w:val="Heading2"/>
      </w:pPr>
      <w:r>
        <w:t xml:space="preserve">Ihre Notizen</w:t>
      </w:r>
    </w:p>
    <w:p>
      <w:pPr>
        <w:pStyle w:val="ListParagraph"/>
        <w:numPr>
          <w:ilvl w:val="0"/>
          <w:numId w:val="1"/>
        </w:numPr>
        <w:spacing w:after="70" w:line="264"/>
      </w:pPr>
      <w:r>
        <w:rPr>
          <w:rFonts w:ascii="Calibri" w:cs="Calibri" w:eastAsia="Calibri" w:hAnsi="Calibri"/>
          <w:color w:val="23423C"/>
          <w:sz w:val="23"/>
          <w:szCs w:val="23"/>
        </w:rPr>
        <w:t xml:space="preserve">Was hätten Sie an diesem Tag so nicht geschafft?</w:t>
      </w:r>
    </w:p>
    <w:p>
      <w:pPr>
        <w:pBdr>
          <w:bottom w:val="single" w:color="5E736E" w:sz="4" w:space="3"/>
        </w:pBdr>
        <w:spacing w:after="200" w:before="60"/>
      </w:pPr>
    </w:p>
    <w:p>
      <w:pPr>
        <w:pBdr>
          <w:bottom w:val="single" w:color="5E736E" w:sz="4" w:space="3"/>
        </w:pBdr>
        <w:spacing w:after="200" w:before="60"/>
      </w:pPr>
    </w:p>
    <w:p>
      <w:pPr>
        <w:pStyle w:val="ListParagraph"/>
        <w:numPr>
          <w:ilvl w:val="0"/>
          <w:numId w:val="1"/>
        </w:numPr>
        <w:spacing w:after="70" w:line="264"/>
      </w:pPr>
      <w:r>
        <w:rPr>
          <w:rFonts w:ascii="Calibri" w:cs="Calibri" w:eastAsia="Calibri" w:hAnsi="Calibri"/>
          <w:color w:val="23423C"/>
          <w:sz w:val="23"/>
          <w:szCs w:val="23"/>
        </w:rPr>
        <w:t xml:space="preserve">An welcher Stelle hätten Sie sich Verständnis gewünscht – und von wem?</w:t>
      </w:r>
    </w:p>
    <w:p>
      <w:pPr>
        <w:pBdr>
          <w:bottom w:val="single" w:color="5E736E" w:sz="4" w:space="3"/>
        </w:pBdr>
        <w:spacing w:after="200" w:before="60"/>
      </w:pPr>
    </w:p>
    <w:p>
      <w:pPr>
        <w:pBdr>
          <w:bottom w:val="single" w:color="5E736E" w:sz="4" w:space="3"/>
        </w:pBdr>
        <w:spacing w:after="200" w:before="60"/>
      </w:pPr>
    </w:p>
    <w:p>
      <w:pPr>
        <w:pStyle w:val="ListParagraph"/>
        <w:numPr>
          <w:ilvl w:val="0"/>
          <w:numId w:val="1"/>
        </w:numPr>
        <w:spacing w:after="70" w:line="264"/>
      </w:pPr>
      <w:r>
        <w:rPr>
          <w:rFonts w:ascii="Calibri" w:cs="Calibri" w:eastAsia="Calibri" w:hAnsi="Calibri"/>
          <w:color w:val="23423C"/>
          <w:sz w:val="23"/>
          <w:szCs w:val="23"/>
        </w:rPr>
        <w:t xml:space="preserve">Was nehmen Sie für Ihren Blick auf „unzuverlässige“ Menschen mit?</w:t>
      </w:r>
    </w:p>
    <w:p>
      <w:pPr>
        <w:pBdr>
          <w:bottom w:val="single" w:color="5E736E" w:sz="4" w:space="3"/>
        </w:pBdr>
        <w:spacing w:after="200" w:before="60"/>
      </w:pPr>
    </w:p>
    <w:p>
      <w:pPr>
        <w:pBdr>
          <w:bottom w:val="single" w:color="5E736E" w:sz="4" w:space="3"/>
        </w:pBdr>
        <w:spacing w:after="200" w:before="60"/>
      </w:pPr>
    </w:p>
    <w:p>
      <w:r>
        <w:br w:type="page"/>
      </w:r>
    </w:p>
    <w:p>
      <w:pPr>
        <w:pStyle w:val="Heading1"/>
      </w:pPr>
      <w:r>
        <w:t xml:space="preserve">A3 · Mythos oder Wahrheit?</w:t>
      </w:r>
    </w:p>
    <w:p>
      <w:pPr>
        <w:spacing w:after="120" w:before="0" w:line="276"/>
      </w:pPr>
      <w:r>
        <w:rPr>
          <w:rFonts w:ascii="Calibri" w:cs="Calibri" w:eastAsia="Calibri" w:hAnsi="Calibri"/>
          <w:color w:val="23423C"/>
          <w:sz w:val="23"/>
          <w:szCs w:val="23"/>
        </w:rPr>
        <w:t xml:space="preserve">Stimmen Sie bei jeder Aussage zuerst ab: Daumen hoch = Wahrheit, Daumen runter = Mythos. Danach gemeinsam auflösen.</w:t>
      </w:r>
    </w:p>
    <w:p>
      <w:pPr>
        <w:spacing w:after="40" w:before="120"/>
      </w:pPr>
      <w:r>
        <w:rPr>
          <w:rFonts w:ascii="Cambria" w:cs="Cambria" w:eastAsia="Cambria" w:hAnsi="Cambria"/>
          <w:b/>
          <w:bCs/>
          <w:color w:val="2C7A6B"/>
          <w:sz w:val="22"/>
          <w:szCs w:val="22"/>
        </w:rPr>
        <w:t xml:space="preserve">Aussage 1:  </w:t>
      </w:r>
      <w:r>
        <w:rPr>
          <w:rFonts w:ascii="Calibri" w:cs="Calibri" w:eastAsia="Calibri" w:hAnsi="Calibri"/>
          <w:i/>
          <w:iCs/>
          <w:color w:val="23423C"/>
          <w:sz w:val="22"/>
          <w:szCs w:val="22"/>
        </w:rPr>
        <w:t xml:space="preserve">„Depression ist Faulheit.“</w:t>
      </w:r>
    </w:p>
    <w:p>
      <w:pPr>
        <w:spacing w:after="20"/>
      </w:pPr>
      <w:r>
        <w:rPr>
          <w:rFonts w:ascii="Calibri" w:cs="Calibri" w:eastAsia="Calibri" w:hAnsi="Calibri"/>
          <w:color w:val="5E736E"/>
          <w:sz w:val="20"/>
          <w:szCs w:val="20"/>
        </w:rPr>
        <w:t xml:space="preserve">Abstimmung:  ☐ Wahrheit   ☐ Mythos</w:t>
      </w:r>
    </w:p>
    <w:tbl>
      <w:tblPr>
        <w:tblW w:type="dxa" w:w="9360"/>
        <w:tblBorders>
          <w:top w:val="single" w:color="E6F2EC" w:sz="2"/>
          <w:left w:val="single" w:color="BC722A" w:sz="18"/>
          <w:bottom w:val="single" w:color="E6F2EC" w:sz="2"/>
          <w:right w:val="single" w:color="E6F2EC" w:sz="2"/>
          <w:insideH w:val="none"/>
          <w:insideV w:val="none"/>
        </w:tblBorders>
      </w:tblPr>
      <w:tblGrid>
        <w:gridCol w:w="9360"/>
      </w:tblGrid>
      <w:tr>
        <w:tc>
          <w:tcPr>
            <w:tcW w:type="dxa" w:w="9360"/>
            <w:shd w:fill="E6F2EC" w:color="auto" w:val="clear"/>
            <w:tcMar>
              <w:top w:type="dxa" w:w="140"/>
              <w:left w:type="dxa" w:w="200"/>
              <w:bottom w:type="dxa" w:w="140"/>
              <w:right w:type="dxa" w:w="200"/>
            </w:tcMar>
          </w:tcPr>
          <w:p>
            <w:pPr>
              <w:spacing w:after="60"/>
            </w:pPr>
            <w:r>
              <w:rPr>
                <w:rFonts w:ascii="Cambria" w:cs="Cambria" w:eastAsia="Cambria" w:hAnsi="Cambria"/>
                <w:b/>
                <w:bCs/>
                <w:color w:val="BC722A"/>
                <w:sz w:val="24"/>
                <w:szCs w:val="24"/>
              </w:rPr>
              <w:t xml:space="preserve">Auflösung: MYTHOS</w:t>
            </w:r>
          </w:p>
          <w:p>
            <w:pPr>
              <w:spacing w:after="0" w:before="0" w:line="276"/>
            </w:pPr>
            <w:r>
              <w:rPr>
                <w:rFonts w:ascii="Calibri" w:cs="Calibri" w:eastAsia="Calibri" w:hAnsi="Calibri"/>
                <w:color w:val="23423C"/>
                <w:sz w:val="23"/>
                <w:szCs w:val="23"/>
              </w:rPr>
              <w:t xml:space="preserve">Depression lähmt den Antrieb. Betroffene kämpfen härter als jeder vermeintlich „Faule“ – gegen eine Krankheit, nicht gegen Unlust.</w:t>
            </w:r>
          </w:p>
        </w:tc>
      </w:tr>
    </w:tbl>
    <w:p>
      <w:pPr>
        <w:spacing w:after="40" w:before="120"/>
      </w:pPr>
      <w:r>
        <w:rPr>
          <w:rFonts w:ascii="Cambria" w:cs="Cambria" w:eastAsia="Cambria" w:hAnsi="Cambria"/>
          <w:b/>
          <w:bCs/>
          <w:color w:val="2C7A6B"/>
          <w:sz w:val="22"/>
          <w:szCs w:val="22"/>
        </w:rPr>
        <w:t xml:space="preserve">Aussage 2:  </w:t>
      </w:r>
      <w:r>
        <w:rPr>
          <w:rFonts w:ascii="Calibri" w:cs="Calibri" w:eastAsia="Calibri" w:hAnsi="Calibri"/>
          <w:i/>
          <w:iCs/>
          <w:color w:val="23423C"/>
          <w:sz w:val="22"/>
          <w:szCs w:val="22"/>
        </w:rPr>
        <w:t xml:space="preserve">„Man muss sich nur zusammenreißen.“</w:t>
      </w:r>
    </w:p>
    <w:p>
      <w:pPr>
        <w:spacing w:after="20"/>
      </w:pPr>
      <w:r>
        <w:rPr>
          <w:rFonts w:ascii="Calibri" w:cs="Calibri" w:eastAsia="Calibri" w:hAnsi="Calibri"/>
          <w:color w:val="5E736E"/>
          <w:sz w:val="20"/>
          <w:szCs w:val="20"/>
        </w:rPr>
        <w:t xml:space="preserve">Abstimmung:  ☐ Wahrheit   ☐ Mythos</w:t>
      </w:r>
    </w:p>
    <w:tbl>
      <w:tblPr>
        <w:tblW w:type="dxa" w:w="9360"/>
        <w:tblBorders>
          <w:top w:val="single" w:color="E6F2EC" w:sz="2"/>
          <w:left w:val="single" w:color="BC722A" w:sz="18"/>
          <w:bottom w:val="single" w:color="E6F2EC" w:sz="2"/>
          <w:right w:val="single" w:color="E6F2EC" w:sz="2"/>
          <w:insideH w:val="none"/>
          <w:insideV w:val="none"/>
        </w:tblBorders>
      </w:tblPr>
      <w:tblGrid>
        <w:gridCol w:w="9360"/>
      </w:tblGrid>
      <w:tr>
        <w:tc>
          <w:tcPr>
            <w:tcW w:type="dxa" w:w="9360"/>
            <w:shd w:fill="E6F2EC" w:color="auto" w:val="clear"/>
            <w:tcMar>
              <w:top w:type="dxa" w:w="140"/>
              <w:left w:type="dxa" w:w="200"/>
              <w:bottom w:type="dxa" w:w="140"/>
              <w:right w:type="dxa" w:w="200"/>
            </w:tcMar>
          </w:tcPr>
          <w:p>
            <w:pPr>
              <w:spacing w:after="60"/>
            </w:pPr>
            <w:r>
              <w:rPr>
                <w:rFonts w:ascii="Cambria" w:cs="Cambria" w:eastAsia="Cambria" w:hAnsi="Cambria"/>
                <w:b/>
                <w:bCs/>
                <w:color w:val="BC722A"/>
                <w:sz w:val="24"/>
                <w:szCs w:val="24"/>
              </w:rPr>
              <w:t xml:space="preserve">Auflösung: MYTHOS</w:t>
            </w:r>
          </w:p>
          <w:p>
            <w:pPr>
              <w:spacing w:after="0" w:before="0" w:line="276"/>
            </w:pPr>
            <w:r>
              <w:rPr>
                <w:rFonts w:ascii="Calibri" w:cs="Calibri" w:eastAsia="Calibri" w:hAnsi="Calibri"/>
                <w:color w:val="23423C"/>
                <w:sz w:val="23"/>
                <w:szCs w:val="23"/>
              </w:rPr>
              <w:t xml:space="preserve">Willenskraft heilt keine Erkrankung – so wenig wie bei einem gebrochenen Bein. Der Appell erzeugt nur Druck und Scham.</w:t>
            </w:r>
          </w:p>
        </w:tc>
      </w:tr>
    </w:tbl>
    <w:p>
      <w:pPr>
        <w:spacing w:after="40" w:before="120"/>
      </w:pPr>
      <w:r>
        <w:rPr>
          <w:rFonts w:ascii="Cambria" w:cs="Cambria" w:eastAsia="Cambria" w:hAnsi="Cambria"/>
          <w:b/>
          <w:bCs/>
          <w:color w:val="2C7A6B"/>
          <w:sz w:val="22"/>
          <w:szCs w:val="22"/>
        </w:rPr>
        <w:t xml:space="preserve">Aussage 3:  </w:t>
      </w:r>
      <w:r>
        <w:rPr>
          <w:rFonts w:ascii="Calibri" w:cs="Calibri" w:eastAsia="Calibri" w:hAnsi="Calibri"/>
          <w:i/>
          <w:iCs/>
          <w:color w:val="23423C"/>
          <w:sz w:val="22"/>
          <w:szCs w:val="22"/>
        </w:rPr>
        <w:t xml:space="preserve">„Psychische Erkrankungen sieht man doch.“</w:t>
      </w:r>
    </w:p>
    <w:p>
      <w:pPr>
        <w:spacing w:after="20"/>
      </w:pPr>
      <w:r>
        <w:rPr>
          <w:rFonts w:ascii="Calibri" w:cs="Calibri" w:eastAsia="Calibri" w:hAnsi="Calibri"/>
          <w:color w:val="5E736E"/>
          <w:sz w:val="20"/>
          <w:szCs w:val="20"/>
        </w:rPr>
        <w:t xml:space="preserve">Abstimmung:  ☐ Wahrheit   ☐ Mythos</w:t>
      </w:r>
    </w:p>
    <w:tbl>
      <w:tblPr>
        <w:tblW w:type="dxa" w:w="9360"/>
        <w:tblBorders>
          <w:top w:val="single" w:color="E6F2EC" w:sz="2"/>
          <w:left w:val="single" w:color="BC722A" w:sz="18"/>
          <w:bottom w:val="single" w:color="E6F2EC" w:sz="2"/>
          <w:right w:val="single" w:color="E6F2EC" w:sz="2"/>
          <w:insideH w:val="none"/>
          <w:insideV w:val="none"/>
        </w:tblBorders>
      </w:tblPr>
      <w:tblGrid>
        <w:gridCol w:w="9360"/>
      </w:tblGrid>
      <w:tr>
        <w:tc>
          <w:tcPr>
            <w:tcW w:type="dxa" w:w="9360"/>
            <w:shd w:fill="E6F2EC" w:color="auto" w:val="clear"/>
            <w:tcMar>
              <w:top w:type="dxa" w:w="140"/>
              <w:left w:type="dxa" w:w="200"/>
              <w:bottom w:type="dxa" w:w="140"/>
              <w:right w:type="dxa" w:w="200"/>
            </w:tcMar>
          </w:tcPr>
          <w:p>
            <w:pPr>
              <w:spacing w:after="60"/>
            </w:pPr>
            <w:r>
              <w:rPr>
                <w:rFonts w:ascii="Cambria" w:cs="Cambria" w:eastAsia="Cambria" w:hAnsi="Cambria"/>
                <w:b/>
                <w:bCs/>
                <w:color w:val="BC722A"/>
                <w:sz w:val="24"/>
                <w:szCs w:val="24"/>
              </w:rPr>
              <w:t xml:space="preserve">Auflösung: MYTHOS</w:t>
            </w:r>
          </w:p>
          <w:p>
            <w:pPr>
              <w:spacing w:after="0" w:before="0" w:line="276"/>
            </w:pPr>
            <w:r>
              <w:rPr>
                <w:rFonts w:ascii="Calibri" w:cs="Calibri" w:eastAsia="Calibri" w:hAnsi="Calibri"/>
                <w:color w:val="23423C"/>
                <w:sz w:val="23"/>
                <w:szCs w:val="23"/>
              </w:rPr>
              <w:t xml:space="preserve">Das Gegenteil stimmt: Man sieht sie meist nicht. Viele funktionieren nach außen perfekt – das ist der Kern dieses Workshops.</w:t>
            </w:r>
          </w:p>
        </w:tc>
      </w:tr>
    </w:tbl>
    <w:p>
      <w:pPr>
        <w:spacing w:after="40" w:before="120"/>
      </w:pPr>
      <w:r>
        <w:rPr>
          <w:rFonts w:ascii="Cambria" w:cs="Cambria" w:eastAsia="Cambria" w:hAnsi="Cambria"/>
          <w:b/>
          <w:bCs/>
          <w:color w:val="2C7A6B"/>
          <w:sz w:val="22"/>
          <w:szCs w:val="22"/>
        </w:rPr>
        <w:t xml:space="preserve">Aussage 4:  </w:t>
      </w:r>
      <w:r>
        <w:rPr>
          <w:rFonts w:ascii="Calibri" w:cs="Calibri" w:eastAsia="Calibri" w:hAnsi="Calibri"/>
          <w:i/>
          <w:iCs/>
          <w:color w:val="23423C"/>
          <w:sz w:val="22"/>
          <w:szCs w:val="22"/>
        </w:rPr>
        <w:t xml:space="preserve">„Wer Hilfe sucht, ist schwach.“</w:t>
      </w:r>
    </w:p>
    <w:p>
      <w:pPr>
        <w:spacing w:after="20"/>
      </w:pPr>
      <w:r>
        <w:rPr>
          <w:rFonts w:ascii="Calibri" w:cs="Calibri" w:eastAsia="Calibri" w:hAnsi="Calibri"/>
          <w:color w:val="5E736E"/>
          <w:sz w:val="20"/>
          <w:szCs w:val="20"/>
        </w:rPr>
        <w:t xml:space="preserve">Abstimmung:  ☐ Wahrheit   ☐ Mythos</w:t>
      </w:r>
    </w:p>
    <w:tbl>
      <w:tblPr>
        <w:tblW w:type="dxa" w:w="9360"/>
        <w:tblBorders>
          <w:top w:val="single" w:color="E6F2EC" w:sz="2"/>
          <w:left w:val="single" w:color="BC722A" w:sz="18"/>
          <w:bottom w:val="single" w:color="E6F2EC" w:sz="2"/>
          <w:right w:val="single" w:color="E6F2EC" w:sz="2"/>
          <w:insideH w:val="none"/>
          <w:insideV w:val="none"/>
        </w:tblBorders>
      </w:tblPr>
      <w:tblGrid>
        <w:gridCol w:w="9360"/>
      </w:tblGrid>
      <w:tr>
        <w:tc>
          <w:tcPr>
            <w:tcW w:type="dxa" w:w="9360"/>
            <w:shd w:fill="E6F2EC" w:color="auto" w:val="clear"/>
            <w:tcMar>
              <w:top w:type="dxa" w:w="140"/>
              <w:left w:type="dxa" w:w="200"/>
              <w:bottom w:type="dxa" w:w="140"/>
              <w:right w:type="dxa" w:w="200"/>
            </w:tcMar>
          </w:tcPr>
          <w:p>
            <w:pPr>
              <w:spacing w:after="60"/>
            </w:pPr>
            <w:r>
              <w:rPr>
                <w:rFonts w:ascii="Cambria" w:cs="Cambria" w:eastAsia="Cambria" w:hAnsi="Cambria"/>
                <w:b/>
                <w:bCs/>
                <w:color w:val="BC722A"/>
                <w:sz w:val="24"/>
                <w:szCs w:val="24"/>
              </w:rPr>
              <w:t xml:space="preserve">Auflösung: MYTHOS</w:t>
            </w:r>
          </w:p>
          <w:p>
            <w:pPr>
              <w:spacing w:after="0" w:before="0" w:line="276"/>
            </w:pPr>
            <w:r>
              <w:rPr>
                <w:rFonts w:ascii="Calibri" w:cs="Calibri" w:eastAsia="Calibri" w:hAnsi="Calibri"/>
                <w:color w:val="23423C"/>
                <w:sz w:val="23"/>
                <w:szCs w:val="23"/>
              </w:rPr>
              <w:t xml:space="preserve">Hilfe zu holen ist ein Akt von Mut und Stärke. Der erste Schritt ist der schwerste – und der wichtigste.</w:t>
            </w:r>
          </w:p>
        </w:tc>
      </w:tr>
    </w:tbl>
    <w:p>
      <w:r>
        <w:br w:type="page"/>
      </w:r>
    </w:p>
    <w:p>
      <w:pPr>
        <w:pStyle w:val="Heading1"/>
      </w:pPr>
      <w:r>
        <w:t xml:space="preserve">A4 · Rollenspiel: Situationskarten</w:t>
      </w:r>
    </w:p>
    <w:p>
      <w:pPr>
        <w:spacing w:after="120" w:before="0" w:line="276"/>
      </w:pPr>
      <w:r>
        <w:rPr>
          <w:rFonts w:ascii="Calibri" w:cs="Calibri" w:eastAsia="Calibri" w:hAnsi="Calibri"/>
          <w:color w:val="23423C"/>
          <w:sz w:val="23"/>
          <w:szCs w:val="23"/>
        </w:rPr>
        <w:t xml:space="preserve">Zum Ausschneiden. Dreiergruppen: A = betroffen · B = Gegenüber · C = Beobachter (nutzt A5). 5 Minuten spielen, auswerten, Rollen tauschen. Niemand muss echtes eigenes Leid nachspielen.</w:t>
      </w:r>
    </w:p>
    <w:tbl>
      <w:tblPr>
        <w:tblW w:type="dxa" w:w="9360"/>
        <w:tblBorders>
          <w:top w:val="dashSmallGap" w:color="BC722A" w:sz="6"/>
          <w:left w:val="dashSmallGap" w:color="BC722A" w:sz="6"/>
          <w:bottom w:val="dashSmallGap" w:color="BC722A" w:sz="6"/>
          <w:right w:val="dashSmallGap" w:color="BC722A" w:sz="6"/>
          <w:insideH w:val="none"/>
          <w:insideV w:val="none"/>
        </w:tblBorders>
      </w:tblPr>
      <w:tblGrid>
        <w:gridCol w:w="9360"/>
      </w:tblGrid>
      <w:tr>
        <w:tc>
          <w:tcPr>
            <w:tcW w:type="dxa" w:w="9360"/>
            <w:shd w:fill="FFFFFF" w:color="auto" w:val="clear"/>
            <w:tcMar>
              <w:top w:type="dxa" w:w="160"/>
              <w:left w:type="dxa" w:w="220"/>
              <w:bottom w:type="dxa" w:w="160"/>
              <w:right w:type="dxa" w:w="220"/>
            </w:tcMar>
          </w:tcPr>
          <w:p>
            <w:pPr>
              <w:spacing w:after="80"/>
            </w:pPr>
            <w:r>
              <w:rPr>
                <w:rFonts w:ascii="Cambria" w:cs="Cambria" w:eastAsia="Cambria" w:hAnsi="Cambria"/>
                <w:b/>
                <w:bCs/>
                <w:color w:val="BC722A"/>
                <w:sz w:val="22"/>
                <w:szCs w:val="22"/>
              </w:rPr>
              <w:t xml:space="preserve">Situation: </w:t>
            </w:r>
            <w:r>
              <w:rPr>
                <w:rFonts w:ascii="Cambria" w:cs="Cambria" w:eastAsia="Cambria" w:hAnsi="Cambria"/>
                <w:b/>
                <w:bCs/>
                <w:color w:val="2C7A6B"/>
                <w:sz w:val="22"/>
                <w:szCs w:val="22"/>
              </w:rPr>
              <w:t xml:space="preserve">Die erschöpfte Kollegin</w:t>
            </w:r>
          </w:p>
          <w:p>
            <w:pPr>
              <w:spacing w:after="0" w:before="0" w:line="276"/>
            </w:pPr>
            <w:r>
              <w:rPr>
                <w:rFonts w:ascii="Calibri" w:cs="Calibri" w:eastAsia="Calibri" w:hAnsi="Calibri"/>
                <w:color w:val="23423C"/>
                <w:sz w:val="23"/>
                <w:szCs w:val="23"/>
              </w:rPr>
              <w:t xml:space="preserve">Eine Kollegin wirkt seit Wochen müde, zieht sich zurück, lächelt aber tapfer. Heute sitzt sie allein in der Küche. B möchte behutsam ins Gespräch kommen.</w:t>
            </w:r>
          </w:p>
        </w:tc>
      </w:tr>
    </w:tbl>
    <w:p>
      <w:pPr>
        <w:spacing w:after="60"/>
      </w:pPr>
    </w:p>
    <w:tbl>
      <w:tblPr>
        <w:tblW w:type="dxa" w:w="9360"/>
        <w:tblBorders>
          <w:top w:val="dashSmallGap" w:color="BC722A" w:sz="6"/>
          <w:left w:val="dashSmallGap" w:color="BC722A" w:sz="6"/>
          <w:bottom w:val="dashSmallGap" w:color="BC722A" w:sz="6"/>
          <w:right w:val="dashSmallGap" w:color="BC722A" w:sz="6"/>
          <w:insideH w:val="none"/>
          <w:insideV w:val="none"/>
        </w:tblBorders>
      </w:tblPr>
      <w:tblGrid>
        <w:gridCol w:w="9360"/>
      </w:tblGrid>
      <w:tr>
        <w:tc>
          <w:tcPr>
            <w:tcW w:type="dxa" w:w="9360"/>
            <w:shd w:fill="FFFFFF" w:color="auto" w:val="clear"/>
            <w:tcMar>
              <w:top w:type="dxa" w:w="160"/>
              <w:left w:type="dxa" w:w="220"/>
              <w:bottom w:type="dxa" w:w="160"/>
              <w:right w:type="dxa" w:w="220"/>
            </w:tcMar>
          </w:tcPr>
          <w:p>
            <w:pPr>
              <w:spacing w:after="80"/>
            </w:pPr>
            <w:r>
              <w:rPr>
                <w:rFonts w:ascii="Cambria" w:cs="Cambria" w:eastAsia="Cambria" w:hAnsi="Cambria"/>
                <w:b/>
                <w:bCs/>
                <w:color w:val="BC722A"/>
                <w:sz w:val="22"/>
                <w:szCs w:val="22"/>
              </w:rPr>
              <w:t xml:space="preserve">Situation: </w:t>
            </w:r>
            <w:r>
              <w:rPr>
                <w:rFonts w:ascii="Cambria" w:cs="Cambria" w:eastAsia="Cambria" w:hAnsi="Cambria"/>
                <w:b/>
                <w:bCs/>
                <w:color w:val="2C7A6B"/>
                <w:sz w:val="22"/>
                <w:szCs w:val="22"/>
              </w:rPr>
              <w:t xml:space="preserve">Der Freund, der absagt</w:t>
            </w:r>
          </w:p>
          <w:p>
            <w:pPr>
              <w:spacing w:after="0" w:before="0" w:line="276"/>
            </w:pPr>
            <w:r>
              <w:rPr>
                <w:rFonts w:ascii="Calibri" w:cs="Calibri" w:eastAsia="Calibri" w:hAnsi="Calibri"/>
                <w:color w:val="23423C"/>
                <w:sz w:val="23"/>
                <w:szCs w:val="23"/>
              </w:rPr>
              <w:t xml:space="preserve">Ein guter Freund hat zum dritten Mal ein Treffen kurzfristig abgesagt. B ruft an – enttäuscht, aber besorgt. A traut sich kaum zu sagen, wie es wirklich steht.</w:t>
            </w:r>
          </w:p>
        </w:tc>
      </w:tr>
    </w:tbl>
    <w:p>
      <w:pPr>
        <w:spacing w:after="60"/>
      </w:pPr>
    </w:p>
    <w:tbl>
      <w:tblPr>
        <w:tblW w:type="dxa" w:w="9360"/>
        <w:tblBorders>
          <w:top w:val="dashSmallGap" w:color="BC722A" w:sz="6"/>
          <w:left w:val="dashSmallGap" w:color="BC722A" w:sz="6"/>
          <w:bottom w:val="dashSmallGap" w:color="BC722A" w:sz="6"/>
          <w:right w:val="dashSmallGap" w:color="BC722A" w:sz="6"/>
          <w:insideH w:val="none"/>
          <w:insideV w:val="none"/>
        </w:tblBorders>
      </w:tblPr>
      <w:tblGrid>
        <w:gridCol w:w="9360"/>
      </w:tblGrid>
      <w:tr>
        <w:tc>
          <w:tcPr>
            <w:tcW w:type="dxa" w:w="9360"/>
            <w:shd w:fill="FFFFFF" w:color="auto" w:val="clear"/>
            <w:tcMar>
              <w:top w:type="dxa" w:w="160"/>
              <w:left w:type="dxa" w:w="220"/>
              <w:bottom w:type="dxa" w:w="160"/>
              <w:right w:type="dxa" w:w="220"/>
            </w:tcMar>
          </w:tcPr>
          <w:p>
            <w:pPr>
              <w:spacing w:after="80"/>
            </w:pPr>
            <w:r>
              <w:rPr>
                <w:rFonts w:ascii="Cambria" w:cs="Cambria" w:eastAsia="Cambria" w:hAnsi="Cambria"/>
                <w:b/>
                <w:bCs/>
                <w:color w:val="BC722A"/>
                <w:sz w:val="22"/>
                <w:szCs w:val="22"/>
              </w:rPr>
              <w:t xml:space="preserve">Situation: </w:t>
            </w:r>
            <w:r>
              <w:rPr>
                <w:rFonts w:ascii="Cambria" w:cs="Cambria" w:eastAsia="Cambria" w:hAnsi="Cambria"/>
                <w:b/>
                <w:bCs/>
                <w:color w:val="2C7A6B"/>
                <w:sz w:val="22"/>
                <w:szCs w:val="22"/>
              </w:rPr>
              <w:t xml:space="preserve">Nach der Panikattacke</w:t>
            </w:r>
          </w:p>
          <w:p>
            <w:pPr>
              <w:spacing w:after="0" w:before="0" w:line="276"/>
            </w:pPr>
            <w:r>
              <w:rPr>
                <w:rFonts w:ascii="Calibri" w:cs="Calibri" w:eastAsia="Calibri" w:hAnsi="Calibri"/>
                <w:color w:val="23423C"/>
                <w:sz w:val="23"/>
                <w:szCs w:val="23"/>
              </w:rPr>
              <w:t xml:space="preserve">A hatte in der U-Bahn eine Panikattacke und meidet seither öffentliche Verkehrsmittel. B erfährt davon und will unterstützen, ohne zu bevormunden.</w:t>
            </w:r>
          </w:p>
        </w:tc>
      </w:tr>
    </w:tbl>
    <w:p>
      <w:pPr>
        <w:spacing w:after="60"/>
      </w:pPr>
    </w:p>
    <w:tbl>
      <w:tblPr>
        <w:tblW w:type="dxa" w:w="9360"/>
        <w:tblBorders>
          <w:top w:val="dashSmallGap" w:color="BC722A" w:sz="6"/>
          <w:left w:val="dashSmallGap" w:color="BC722A" w:sz="6"/>
          <w:bottom w:val="dashSmallGap" w:color="BC722A" w:sz="6"/>
          <w:right w:val="dashSmallGap" w:color="BC722A" w:sz="6"/>
          <w:insideH w:val="none"/>
          <w:insideV w:val="none"/>
        </w:tblBorders>
      </w:tblPr>
      <w:tblGrid>
        <w:gridCol w:w="9360"/>
      </w:tblGrid>
      <w:tr>
        <w:tc>
          <w:tcPr>
            <w:tcW w:type="dxa" w:w="9360"/>
            <w:shd w:fill="FFFFFF" w:color="auto" w:val="clear"/>
            <w:tcMar>
              <w:top w:type="dxa" w:w="160"/>
              <w:left w:type="dxa" w:w="220"/>
              <w:bottom w:type="dxa" w:w="160"/>
              <w:right w:type="dxa" w:w="220"/>
            </w:tcMar>
          </w:tcPr>
          <w:p>
            <w:pPr>
              <w:spacing w:after="80"/>
            </w:pPr>
            <w:r>
              <w:rPr>
                <w:rFonts w:ascii="Cambria" w:cs="Cambria" w:eastAsia="Cambria" w:hAnsi="Cambria"/>
                <w:b/>
                <w:bCs/>
                <w:color w:val="BC722A"/>
                <w:sz w:val="22"/>
                <w:szCs w:val="22"/>
              </w:rPr>
              <w:t xml:space="preserve">Situation: </w:t>
            </w:r>
            <w:r>
              <w:rPr>
                <w:rFonts w:ascii="Cambria" w:cs="Cambria" w:eastAsia="Cambria" w:hAnsi="Cambria"/>
                <w:b/>
                <w:bCs/>
                <w:color w:val="2C7A6B"/>
                <w:sz w:val="22"/>
                <w:szCs w:val="22"/>
              </w:rPr>
              <w:t xml:space="preserve">„Mir geht’s gut“</w:t>
            </w:r>
          </w:p>
          <w:p>
            <w:pPr>
              <w:spacing w:after="0" w:before="0" w:line="276"/>
            </w:pPr>
            <w:r>
              <w:rPr>
                <w:rFonts w:ascii="Calibri" w:cs="Calibri" w:eastAsia="Calibri" w:hAnsi="Calibri"/>
                <w:color w:val="23423C"/>
                <w:sz w:val="23"/>
                <w:szCs w:val="23"/>
              </w:rPr>
              <w:t xml:space="preserve">A sagt auf jede Frage „alles bestens“, wirkt aber sichtlich belastet. B spürt die Diskrepanz und möchte echten Kontakt herstellen.</w:t>
            </w:r>
          </w:p>
        </w:tc>
      </w:tr>
    </w:tbl>
    <w:p>
      <w:pPr>
        <w:spacing w:after="60"/>
      </w:pPr>
    </w:p>
    <w:tbl>
      <w:tblPr>
        <w:tblW w:type="dxa" w:w="9360"/>
        <w:tblBorders>
          <w:top w:val="dashSmallGap" w:color="BC722A" w:sz="6"/>
          <w:left w:val="dashSmallGap" w:color="BC722A" w:sz="6"/>
          <w:bottom w:val="dashSmallGap" w:color="BC722A" w:sz="6"/>
          <w:right w:val="dashSmallGap" w:color="BC722A" w:sz="6"/>
          <w:insideH w:val="none"/>
          <w:insideV w:val="none"/>
        </w:tblBorders>
      </w:tblPr>
      <w:tblGrid>
        <w:gridCol w:w="9360"/>
      </w:tblGrid>
      <w:tr>
        <w:tc>
          <w:tcPr>
            <w:tcW w:type="dxa" w:w="9360"/>
            <w:shd w:fill="FFFFFF" w:color="auto" w:val="clear"/>
            <w:tcMar>
              <w:top w:type="dxa" w:w="160"/>
              <w:left w:type="dxa" w:w="220"/>
              <w:bottom w:type="dxa" w:w="160"/>
              <w:right w:type="dxa" w:w="220"/>
            </w:tcMar>
          </w:tcPr>
          <w:p>
            <w:pPr>
              <w:spacing w:after="80"/>
            </w:pPr>
            <w:r>
              <w:rPr>
                <w:rFonts w:ascii="Cambria" w:cs="Cambria" w:eastAsia="Cambria" w:hAnsi="Cambria"/>
                <w:b/>
                <w:bCs/>
                <w:color w:val="BC722A"/>
                <w:sz w:val="22"/>
                <w:szCs w:val="22"/>
              </w:rPr>
              <w:t xml:space="preserve">Situation: </w:t>
            </w:r>
            <w:r>
              <w:rPr>
                <w:rFonts w:ascii="Cambria" w:cs="Cambria" w:eastAsia="Cambria" w:hAnsi="Cambria"/>
                <w:b/>
                <w:bCs/>
                <w:color w:val="2C7A6B"/>
                <w:sz w:val="22"/>
                <w:szCs w:val="22"/>
              </w:rPr>
              <w:t xml:space="preserve">Die Rückkehr nach dem Krankenstand</w:t>
            </w:r>
          </w:p>
          <w:p>
            <w:pPr>
              <w:spacing w:after="0" w:before="0" w:line="276"/>
            </w:pPr>
            <w:r>
              <w:rPr>
                <w:rFonts w:ascii="Calibri" w:cs="Calibri" w:eastAsia="Calibri" w:hAnsi="Calibri"/>
                <w:color w:val="23423C"/>
                <w:sz w:val="23"/>
                <w:szCs w:val="23"/>
              </w:rPr>
              <w:t xml:space="preserve">A kommt nach einer depressiven Episode zurück an den Arbeitsplatz und ist unsicher. B (Kolleg:in) will willkommen heißen, ohne zu überfordern.</w:t>
            </w:r>
          </w:p>
        </w:tc>
      </w:tr>
    </w:tbl>
    <w:p>
      <w:pPr>
        <w:spacing w:after="60"/>
      </w:pPr>
    </w:p>
    <w:tbl>
      <w:tblPr>
        <w:tblW w:type="dxa" w:w="9360"/>
        <w:tblBorders>
          <w:top w:val="dashSmallGap" w:color="BC722A" w:sz="6"/>
          <w:left w:val="dashSmallGap" w:color="BC722A" w:sz="6"/>
          <w:bottom w:val="dashSmallGap" w:color="BC722A" w:sz="6"/>
          <w:right w:val="dashSmallGap" w:color="BC722A" w:sz="6"/>
          <w:insideH w:val="none"/>
          <w:insideV w:val="none"/>
        </w:tblBorders>
      </w:tblPr>
      <w:tblGrid>
        <w:gridCol w:w="9360"/>
      </w:tblGrid>
      <w:tr>
        <w:tc>
          <w:tcPr>
            <w:tcW w:type="dxa" w:w="9360"/>
            <w:shd w:fill="FFFFFF" w:color="auto" w:val="clear"/>
            <w:tcMar>
              <w:top w:type="dxa" w:w="160"/>
              <w:left w:type="dxa" w:w="220"/>
              <w:bottom w:type="dxa" w:w="160"/>
              <w:right w:type="dxa" w:w="220"/>
            </w:tcMar>
          </w:tcPr>
          <w:p>
            <w:pPr>
              <w:spacing w:after="80"/>
            </w:pPr>
            <w:r>
              <w:rPr>
                <w:rFonts w:ascii="Cambria" w:cs="Cambria" w:eastAsia="Cambria" w:hAnsi="Cambria"/>
                <w:b/>
                <w:bCs/>
                <w:color w:val="BC722A"/>
                <w:sz w:val="22"/>
                <w:szCs w:val="22"/>
              </w:rPr>
              <w:t xml:space="preserve">Situation: </w:t>
            </w:r>
            <w:r>
              <w:rPr>
                <w:rFonts w:ascii="Cambria" w:cs="Cambria" w:eastAsia="Cambria" w:hAnsi="Cambria"/>
                <w:b/>
                <w:bCs/>
                <w:color w:val="2C7A6B"/>
                <w:sz w:val="22"/>
                <w:szCs w:val="22"/>
              </w:rPr>
              <w:t xml:space="preserve">Der besorgte Angehörige</w:t>
            </w:r>
          </w:p>
          <w:p>
            <w:pPr>
              <w:spacing w:after="0" w:before="0" w:line="276"/>
            </w:pPr>
            <w:r>
              <w:rPr>
                <w:rFonts w:ascii="Calibri" w:cs="Calibri" w:eastAsia="Calibri" w:hAnsi="Calibri"/>
                <w:color w:val="23423C"/>
                <w:sz w:val="23"/>
                <w:szCs w:val="23"/>
              </w:rPr>
              <w:t xml:space="preserve">A macht sich große Sorgen um den eigenen Partner und ist selbst am Limit. B hört zu und hilft A, auch die eigenen Grenzen zu sehen.</w:t>
            </w:r>
          </w:p>
        </w:tc>
      </w:tr>
    </w:tbl>
    <w:p>
      <w:pPr>
        <w:spacing w:after="60"/>
      </w:pPr>
    </w:p>
    <w:p>
      <w:r>
        <w:br w:type="page"/>
      </w:r>
    </w:p>
    <w:p>
      <w:pPr>
        <w:pStyle w:val="Heading1"/>
      </w:pPr>
      <w:r>
        <w:t xml:space="preserve">A5 · Rollenspiel: Beobachtungsbogen</w:t>
      </w:r>
    </w:p>
    <w:p>
      <w:pPr>
        <w:spacing w:after="120" w:before="0" w:line="276"/>
      </w:pPr>
      <w:r>
        <w:rPr>
          <w:rFonts w:ascii="Calibri" w:cs="Calibri" w:eastAsia="Calibri" w:hAnsi="Calibri"/>
          <w:color w:val="23423C"/>
          <w:sz w:val="23"/>
          <w:szCs w:val="23"/>
        </w:rPr>
        <w:t xml:space="preserve">Für Rolle C. Beobachten Sie das Gespräch und kreuzen Sie an. Geben Sie in der Auswertung zuerst das Positive zurück.</w:t>
      </w:r>
    </w:p>
    <w:tbl>
      <w:tblPr>
        <w:tblW w:type="dxa" w:w="9360"/>
        <w:tblBorders>
          <w:top w:val="single" w:color="D9E9E1" w:sz="2"/>
          <w:left w:val="single" w:color="D9E9E1" w:sz="2"/>
          <w:bottom w:val="single" w:color="D9E9E1" w:sz="2"/>
          <w:right w:val="single" w:color="D9E9E1" w:sz="2"/>
          <w:insideH w:val="single" w:color="D9E9E1" w:sz="2"/>
          <w:insideV w:val="single" w:color="D9E9E1" w:sz="2"/>
        </w:tblBorders>
      </w:tblPr>
      <w:tblGrid>
        <w:gridCol w:w="6360"/>
        <w:gridCol w:w="1000"/>
        <w:gridCol w:w="1000"/>
        <w:gridCol w:w="1000"/>
      </w:tblGrid>
      <w:tr>
        <w:trPr>
          <w:tblHeader/>
        </w:trPr>
        <w:tc>
          <w:tcPr>
            <w:tcW w:type="dxa" w:w="636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Beobachtung</w:t>
            </w:r>
          </w:p>
        </w:tc>
        <w:tc>
          <w:tcPr>
            <w:tcW w:type="dxa" w:w="10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Ja</w:t>
            </w:r>
          </w:p>
        </w:tc>
        <w:tc>
          <w:tcPr>
            <w:tcW w:type="dxa" w:w="10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Teils</w:t>
            </w:r>
          </w:p>
        </w:tc>
        <w:tc>
          <w:tcPr>
            <w:tcW w:type="dxa" w:w="10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Nein</w:t>
            </w:r>
          </w:p>
        </w:tc>
      </w:tr>
      <w:tr>
        <w:tc>
          <w:tcPr>
            <w:tcW w:type="dxa" w:w="636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 hat sich zugewandt (Blickkontakt, Handy weg, Zeit)</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r>
        <w:tc>
          <w:tcPr>
            <w:tcW w:type="dxa" w:w="636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 hat mehr zugehört als geredet</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r>
        <w:tc>
          <w:tcPr>
            <w:tcW w:type="dxa" w:w="636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 hat Gefühle ernst genommen (nicht kleingeredet)</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r>
        <w:tc>
          <w:tcPr>
            <w:tcW w:type="dxa" w:w="636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 hat Pausen/Stille ausgehalten</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r>
        <w:tc>
          <w:tcPr>
            <w:tcW w:type="dxa" w:w="636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 hat auf schnelle Ratschläge verzichtet</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r>
        <w:tc>
          <w:tcPr>
            <w:tcW w:type="dxa" w:w="636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B hat konkret gefragt (z. B. „Was würde dir helfen?“)</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r>
        <w:tc>
          <w:tcPr>
            <w:tcW w:type="dxa" w:w="636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A hat sich verstanden gefühlt (Eindruck)</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10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r>
    </w:tbl>
    <w:p>
      <w:pPr>
        <w:pStyle w:val="Heading2"/>
      </w:pPr>
      <w:r>
        <w:t xml:space="preserve">Notizen für die Auswertung</w:t>
      </w:r>
    </w:p>
    <w:p>
      <w:pPr>
        <w:pStyle w:val="ListParagraph"/>
        <w:numPr>
          <w:ilvl w:val="0"/>
          <w:numId w:val="1"/>
        </w:numPr>
        <w:spacing w:after="70" w:line="264"/>
      </w:pPr>
      <w:r>
        <w:rPr>
          <w:rFonts w:ascii="Calibri" w:cs="Calibri" w:eastAsia="Calibri" w:hAnsi="Calibri"/>
          <w:color w:val="23423C"/>
          <w:sz w:val="23"/>
          <w:szCs w:val="23"/>
        </w:rPr>
        <w:t xml:space="preserve">Welcher Satz / Moment hat das Gespräch geöffnet?</w:t>
      </w:r>
    </w:p>
    <w:p>
      <w:pPr>
        <w:pBdr>
          <w:bottom w:val="single" w:color="5E736E" w:sz="4" w:space="3"/>
        </w:pBdr>
        <w:spacing w:after="200" w:before="60"/>
      </w:pPr>
    </w:p>
    <w:p>
      <w:pPr>
        <w:pBdr>
          <w:bottom w:val="single" w:color="5E736E" w:sz="4" w:space="3"/>
        </w:pBdr>
        <w:spacing w:after="200" w:before="60"/>
      </w:pPr>
    </w:p>
    <w:p>
      <w:pPr>
        <w:pStyle w:val="ListParagraph"/>
        <w:numPr>
          <w:ilvl w:val="0"/>
          <w:numId w:val="1"/>
        </w:numPr>
        <w:spacing w:after="70" w:line="264"/>
      </w:pPr>
      <w:r>
        <w:rPr>
          <w:rFonts w:ascii="Calibri" w:cs="Calibri" w:eastAsia="Calibri" w:hAnsi="Calibri"/>
          <w:color w:val="23423C"/>
          <w:sz w:val="23"/>
          <w:szCs w:val="23"/>
        </w:rPr>
        <w:t xml:space="preserve">Was hätte man anders machen können?</w:t>
      </w:r>
    </w:p>
    <w:p>
      <w:pPr>
        <w:pBdr>
          <w:bottom w:val="single" w:color="5E736E" w:sz="4" w:space="3"/>
        </w:pBdr>
        <w:spacing w:after="200" w:before="60"/>
      </w:pPr>
    </w:p>
    <w:p>
      <w:pPr>
        <w:pBdr>
          <w:bottom w:val="single" w:color="5E736E" w:sz="4" w:space="3"/>
        </w:pBdr>
        <w:spacing w:after="200" w:before="60"/>
      </w:pPr>
    </w:p>
    <w:p>
      <w:r>
        <w:br w:type="page"/>
      </w:r>
    </w:p>
    <w:p>
      <w:pPr>
        <w:pStyle w:val="Heading1"/>
      </w:pPr>
      <w:r>
        <w:t xml:space="preserve">A6 · Fallbeispiele für Kleingruppen</w:t>
      </w:r>
    </w:p>
    <w:p>
      <w:pPr>
        <w:spacing w:after="120" w:before="0" w:line="276"/>
      </w:pPr>
      <w:r>
        <w:rPr>
          <w:rFonts w:ascii="Calibri" w:cs="Calibri" w:eastAsia="Calibri" w:hAnsi="Calibri"/>
          <w:color w:val="23423C"/>
          <w:sz w:val="23"/>
          <w:szCs w:val="23"/>
        </w:rPr>
        <w:t xml:space="preserve">Je Gruppe ein Fall. Leitfragen: Was könnte hier los sein? · Was hilft? · Was sollte man vermeiden? · Wo sind die Grenzen der eigenen Hilfe? Ergebnisse auf Flipchart festhalten.</w:t>
      </w:r>
    </w:p>
    <w:p>
      <w:pPr>
        <w:spacing w:after="40" w:before="140"/>
      </w:pPr>
      <w:r>
        <w:rPr>
          <w:rFonts w:ascii="Cambria" w:cs="Cambria" w:eastAsia="Cambria" w:hAnsi="Cambria"/>
          <w:b/>
          <w:bCs/>
          <w:color w:val="2C7A6B"/>
          <w:sz w:val="23"/>
          <w:szCs w:val="23"/>
        </w:rPr>
        <w:t xml:space="preserve">Fall 1 – Markus, 34</w:t>
      </w:r>
    </w:p>
    <w:p>
      <w:pPr>
        <w:spacing w:after="80" w:before="0" w:line="276"/>
      </w:pPr>
      <w:r>
        <w:rPr>
          <w:rFonts w:ascii="Calibri" w:cs="Calibri" w:eastAsia="Calibri" w:hAnsi="Calibri"/>
          <w:color w:val="23423C"/>
          <w:sz w:val="23"/>
          <w:szCs w:val="23"/>
        </w:rPr>
        <w:t xml:space="preserve">Markus ist ein zuverlässiger Kollege. Seit einigen Monaten wirkt er gereizt, macht Fehler, zieht sich in Pausen zurück und meldet sich immer öfter krank. Auf Nachfragen sagt er nur: „Alles gut, viel Stress.“ Ihr sitzt mit ihm im Team.</w:t>
      </w:r>
    </w:p>
    <w:p>
      <w:pPr>
        <w:pBdr>
          <w:bottom w:val="single" w:color="D9E9E1" w:sz="4" w:space="3"/>
        </w:pBdr>
        <w:spacing w:after="120"/>
      </w:pPr>
    </w:p>
    <w:p>
      <w:pPr>
        <w:spacing w:after="40" w:before="140"/>
      </w:pPr>
      <w:r>
        <w:rPr>
          <w:rFonts w:ascii="Cambria" w:cs="Cambria" w:eastAsia="Cambria" w:hAnsi="Cambria"/>
          <w:b/>
          <w:bCs/>
          <w:color w:val="2C7A6B"/>
          <w:sz w:val="23"/>
          <w:szCs w:val="23"/>
        </w:rPr>
        <w:t xml:space="preserve">Fall 2 – Sabine, 51</w:t>
      </w:r>
    </w:p>
    <w:p>
      <w:pPr>
        <w:spacing w:after="80" w:before="0" w:line="276"/>
      </w:pPr>
      <w:r>
        <w:rPr>
          <w:rFonts w:ascii="Calibri" w:cs="Calibri" w:eastAsia="Calibri" w:hAnsi="Calibri"/>
          <w:color w:val="23423C"/>
          <w:sz w:val="23"/>
          <w:szCs w:val="23"/>
        </w:rPr>
        <w:t xml:space="preserve">Nach dem Tod ihrer Mutter hat sich Sabine völlig zurückgezogen. Sie geht kaum noch aus dem Haus, Einladungen sagt sie ab. Am Telefon klingt sie tonlos und sagt, sie sei „nur müde“. Du bist eine langjährige Freundin.</w:t>
      </w:r>
    </w:p>
    <w:p>
      <w:pPr>
        <w:pBdr>
          <w:bottom w:val="single" w:color="D9E9E1" w:sz="4" w:space="3"/>
        </w:pBdr>
        <w:spacing w:after="120"/>
      </w:pPr>
    </w:p>
    <w:p>
      <w:pPr>
        <w:spacing w:after="40" w:before="140"/>
      </w:pPr>
      <w:r>
        <w:rPr>
          <w:rFonts w:ascii="Cambria" w:cs="Cambria" w:eastAsia="Cambria" w:hAnsi="Cambria"/>
          <w:b/>
          <w:bCs/>
          <w:color w:val="2C7A6B"/>
          <w:sz w:val="23"/>
          <w:szCs w:val="23"/>
        </w:rPr>
        <w:t xml:space="preserve">Fall 3 – Jonas, 19</w:t>
      </w:r>
    </w:p>
    <w:p>
      <w:pPr>
        <w:spacing w:after="80" w:before="0" w:line="276"/>
      </w:pPr>
      <w:r>
        <w:rPr>
          <w:rFonts w:ascii="Calibri" w:cs="Calibri" w:eastAsia="Calibri" w:hAnsi="Calibri"/>
          <w:color w:val="23423C"/>
          <w:sz w:val="23"/>
          <w:szCs w:val="23"/>
        </w:rPr>
        <w:t xml:space="preserve">Jonas, dein jüngerer Bruder, hatte einen Autounfall miterlebt. Seither schläft er schlecht, schreckt bei Geräuschen zusammen und vermeidet das Autofahren. Er will „nicht drüber reden“ und winkt ab, wenn ihr das Thema ansprecht.</w:t>
      </w:r>
    </w:p>
    <w:p>
      <w:pPr>
        <w:pBdr>
          <w:bottom w:val="single" w:color="D9E9E1" w:sz="4" w:space="3"/>
        </w:pBdr>
        <w:spacing w:after="120"/>
      </w:pPr>
    </w:p>
    <w:p>
      <w:pPr>
        <w:spacing w:after="40" w:before="140"/>
      </w:pPr>
      <w:r>
        <w:rPr>
          <w:rFonts w:ascii="Cambria" w:cs="Cambria" w:eastAsia="Cambria" w:hAnsi="Cambria"/>
          <w:b/>
          <w:bCs/>
          <w:color w:val="2C7A6B"/>
          <w:sz w:val="23"/>
          <w:szCs w:val="23"/>
        </w:rPr>
        <w:t xml:space="preserve">Fall 4 – Team-Perspektive</w:t>
      </w:r>
    </w:p>
    <w:p>
      <w:pPr>
        <w:spacing w:after="80" w:before="0" w:line="276"/>
      </w:pPr>
      <w:r>
        <w:rPr>
          <w:rFonts w:ascii="Calibri" w:cs="Calibri" w:eastAsia="Calibri" w:hAnsi="Calibri"/>
          <w:color w:val="23423C"/>
          <w:sz w:val="23"/>
          <w:szCs w:val="23"/>
        </w:rPr>
        <w:t xml:space="preserve">Eine Mitarbeiterin kommt nach mehrwöchigem Krankenstand wegen einer Depression zurück. Das Team ist unsicher: Soll man das Thema ansprechen? Wie verhält man sich „normal“, ohne sie zu überfordern oder auszugrenzen?</w:t>
      </w:r>
    </w:p>
    <w:p>
      <w:pPr>
        <w:pBdr>
          <w:bottom w:val="single" w:color="D9E9E1" w:sz="4" w:space="3"/>
        </w:pBdr>
        <w:spacing w:after="120"/>
      </w:pPr>
    </w:p>
    <w:p>
      <w:r>
        <w:br w:type="page"/>
      </w:r>
    </w:p>
    <w:p>
      <w:pPr>
        <w:pStyle w:val="Heading1"/>
      </w:pPr>
      <w:r>
        <w:t xml:space="preserve">A7 · Körpersprache erkennen</w:t>
      </w:r>
    </w:p>
    <w:p>
      <w:pPr>
        <w:spacing w:after="120" w:before="0" w:line="276"/>
      </w:pPr>
      <w:r>
        <w:rPr>
          <w:rFonts w:ascii="Calibri" w:cs="Calibri" w:eastAsia="Calibri" w:hAnsi="Calibri"/>
          <w:color w:val="23423C"/>
          <w:sz w:val="23"/>
          <w:szCs w:val="23"/>
        </w:rPr>
        <w:t xml:space="preserve">Belastung zeigt sich oft ohne Worte – aber Signale sind mehrdeutig. Deuten Sie die folgenden Beschreibungen: Was könnte die Person fühlen? Was ist eindeutig, was nicht?</w:t>
      </w:r>
    </w:p>
    <w:tbl>
      <w:tblPr>
        <w:tblW w:type="dxa" w:w="9360"/>
        <w:tblBorders>
          <w:top w:val="single" w:color="D9E9E1" w:sz="2"/>
          <w:left w:val="single" w:color="D9E9E1" w:sz="2"/>
          <w:bottom w:val="single" w:color="D9E9E1" w:sz="2"/>
          <w:right w:val="single" w:color="D9E9E1" w:sz="2"/>
          <w:insideH w:val="single" w:color="D9E9E1" w:sz="2"/>
          <w:insideV w:val="single" w:color="D9E9E1" w:sz="2"/>
        </w:tblBorders>
      </w:tblPr>
      <w:tblGrid>
        <w:gridCol w:w="4680"/>
        <w:gridCol w:w="4680"/>
      </w:tblGrid>
      <w:tr>
        <w:trPr>
          <w:tblHeader/>
        </w:trPr>
        <w:tc>
          <w:tcPr>
            <w:tcW w:type="dxa" w:w="468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Beschreibung</w:t>
            </w:r>
          </w:p>
        </w:tc>
        <w:tc>
          <w:tcPr>
            <w:tcW w:type="dxa" w:w="468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Was könnte dahinterstecken?</w:t>
            </w:r>
          </w:p>
        </w:tc>
      </w:tr>
      <w:tr>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Lächelt in der Runde, aber die Schultern sind hochgezogen, die Hände kneten unter dem Tisch.</w:t>
            </w:r>
          </w:p>
        </w:tc>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
            </w:r>
          </w:p>
        </w:tc>
      </w:tr>
      <w:tr>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Kommt zu spät, wirkt gehetzt, vermeidet Blickkontakt, antwortet einsilbig.</w:t>
            </w:r>
          </w:p>
        </w:tc>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
            </w:r>
          </w:p>
        </w:tc>
      </w:tr>
      <w:tr>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Sitzt zusammengesunken, Blick ins Leere, reagiert verzögert auf Ansprache.</w:t>
            </w:r>
          </w:p>
        </w:tc>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
            </w:r>
          </w:p>
        </w:tc>
      </w:tr>
      <w:tr>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Wirkt überdreht heiter, redet sehr schnell und viel, kann kaum still sitzen.</w:t>
            </w:r>
          </w:p>
        </w:tc>
        <w:tc>
          <w:tcPr>
            <w:tcW w:type="dxa" w:w="468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
            </w:r>
          </w:p>
        </w:tc>
      </w:tr>
      <w:tr>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Zieht sich körperlich zurück, verschränkt die Arme, dreht den Körper zur Tür.</w:t>
            </w:r>
          </w:p>
        </w:tc>
        <w:tc>
          <w:tcPr>
            <w:tcW w:type="dxa" w:w="468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
            </w:r>
          </w:p>
        </w:tc>
      </w:tr>
    </w:tbl>
    <w:tbl>
      <w:tblPr>
        <w:tblW w:type="dxa" w:w="9360"/>
        <w:tblBorders>
          <w:top w:val="single" w:color="E6F2EC" w:sz="2"/>
          <w:left w:val="single" w:color="2E9284" w:sz="18"/>
          <w:bottom w:val="single" w:color="E6F2EC" w:sz="2"/>
          <w:right w:val="single" w:color="E6F2EC" w:sz="2"/>
          <w:insideH w:val="none"/>
          <w:insideV w:val="none"/>
        </w:tblBorders>
      </w:tblPr>
      <w:tblGrid>
        <w:gridCol w:w="9360"/>
      </w:tblGrid>
      <w:tr>
        <w:tc>
          <w:tcPr>
            <w:tcW w:type="dxa" w:w="9360"/>
            <w:shd w:fill="E6F2EC" w:color="auto" w:val="clear"/>
            <w:tcMar>
              <w:top w:type="dxa" w:w="140"/>
              <w:left w:type="dxa" w:w="200"/>
              <w:bottom w:type="dxa" w:w="140"/>
              <w:right w:type="dxa" w:w="200"/>
            </w:tcMar>
          </w:tcPr>
          <w:p>
            <w:pPr>
              <w:spacing w:after="60"/>
            </w:pPr>
            <w:r>
              <w:rPr>
                <w:rFonts w:ascii="Cambria" w:cs="Cambria" w:eastAsia="Cambria" w:hAnsi="Cambria"/>
                <w:b/>
                <w:bCs/>
                <w:color w:val="2E9284"/>
                <w:sz w:val="24"/>
                <w:szCs w:val="24"/>
              </w:rPr>
              <w:t xml:space="preserve">Wichtig</w:t>
            </w:r>
          </w:p>
          <w:p>
            <w:pPr>
              <w:spacing w:after="0" w:before="0" w:line="276"/>
            </w:pPr>
            <w:r>
              <w:rPr>
                <w:rFonts w:ascii="Calibri" w:cs="Calibri" w:eastAsia="Calibri" w:hAnsi="Calibri"/>
                <w:color w:val="23423C"/>
                <w:sz w:val="23"/>
                <w:szCs w:val="23"/>
              </w:rPr>
              <w:t xml:space="preserve">Körpersprache ist ein Hinweis, kein Beweis. Der einzig sichere Weg führt über das nachfragende, wertschätzende Gespräch – nicht über Interpretation.</w:t>
            </w:r>
          </w:p>
        </w:tc>
      </w:tr>
    </w:tbl>
    <w:p>
      <w:r>
        <w:br w:type="page"/>
      </w:r>
    </w:p>
    <w:p>
      <w:pPr>
        <w:pStyle w:val="Heading1"/>
      </w:pPr>
      <w:r>
        <w:t xml:space="preserve">A8 · Ampelübung: Belastung einschätzen</w:t>
      </w:r>
    </w:p>
    <w:p>
      <w:pPr>
        <w:spacing w:after="120" w:before="0" w:line="276"/>
      </w:pPr>
      <w:r>
        <w:rPr>
          <w:rFonts w:ascii="Calibri" w:cs="Calibri" w:eastAsia="Calibri" w:hAnsi="Calibri"/>
          <w:color w:val="23423C"/>
          <w:sz w:val="23"/>
          <w:szCs w:val="23"/>
        </w:rPr>
        <w:t xml:space="preserve">Ein einfaches Frühwarn-Bild. Der Bogen ist privat und bleibt bei Ihnen. Es geht um Selbstwahrnehmung, nicht um Bewertung.</w:t>
      </w:r>
    </w:p>
    <w:p>
      <w:pPr>
        <w:spacing w:after="60"/>
      </w:pPr>
      <w:r>
        <w:rPr>
          <w:rFonts w:ascii="Cambria" w:cs="Cambria" w:eastAsia="Cambria" w:hAnsi="Cambria"/>
          <w:b/>
          <w:bCs/>
          <w:color w:val="BC722A"/>
          <w:sz w:val="21"/>
          <w:szCs w:val="21"/>
        </w:rPr>
        <w:t xml:space="preserve">Das Ampelmodell</w:t>
      </w:r>
    </w:p>
    <w:tbl>
      <w:tblPr>
        <w:tblW w:type="dxa" w:w="9360"/>
        <w:tblBorders>
          <w:top w:val="single" w:color="D9E9E1" w:sz="2"/>
          <w:left w:val="single" w:color="D9E9E1" w:sz="2"/>
          <w:bottom w:val="single" w:color="D9E9E1" w:sz="2"/>
          <w:right w:val="single" w:color="D9E9E1" w:sz="2"/>
          <w:insideH w:val="single" w:color="auto" w:sz="4"/>
          <w:insideV w:val="single" w:color="D9E9E1" w:sz="2"/>
        </w:tblBorders>
      </w:tblPr>
      <w:tblGrid>
        <w:gridCol w:w="1500"/>
        <w:gridCol w:w="7860"/>
      </w:tblGrid>
      <w:tr>
        <w:tc>
          <w:tcPr>
            <w:tcW w:type="dxa" w:w="1500"/>
            <w:shd w:fill="5CA98A" w:color="auto" w:val="clear"/>
            <w:tcMar>
              <w:top w:type="dxa" w:w="120"/>
              <w:left w:type="dxa" w:w="120"/>
              <w:bottom w:type="dxa" w:w="120"/>
              <w:right w:type="dxa" w:w="120"/>
            </w:tcMar>
          </w:tcPr>
          <w:p>
            <w:pPr>
              <w:spacing w:after="0"/>
              <w:jc w:val="center"/>
            </w:pPr>
            <w:r>
              <w:rPr>
                <w:rFonts w:ascii="Calibri" w:cs="Calibri" w:eastAsia="Calibri" w:hAnsi="Calibri"/>
                <w:b/>
                <w:bCs/>
                <w:color w:val="FFFFFF"/>
                <w:sz w:val="22"/>
                <w:szCs w:val="22"/>
              </w:rPr>
              <w:t xml:space="preserve">GRÜN</w:t>
            </w:r>
          </w:p>
        </w:tc>
        <w:tc>
          <w:tcPr>
            <w:tcW w:type="dxa" w:w="7860"/>
            <w:tcMar>
              <w:top w:type="dxa" w:w="120"/>
              <w:left w:type="dxa" w:w="160"/>
              <w:bottom w:type="dxa" w:w="120"/>
              <w:right w:type="dxa" w:w="160"/>
            </w:tcMar>
          </w:tcPr>
          <w:p>
            <w:pPr>
              <w:spacing w:after="0"/>
            </w:pPr>
            <w:r>
              <w:rPr>
                <w:rFonts w:ascii="Calibri" w:cs="Calibri" w:eastAsia="Calibri" w:hAnsi="Calibri"/>
                <w:color w:val="23423C"/>
                <w:sz w:val="20"/>
                <w:szCs w:val="20"/>
              </w:rPr>
              <w:t xml:space="preserve">Im Gleichgewicht. Belastung und Erholung passen. Ich fühle mich handlungsfähig.</w:t>
            </w:r>
          </w:p>
        </w:tc>
      </w:tr>
    </w:tbl>
    <w:p>
      <w:pPr>
        <w:spacing w:after="40"/>
      </w:pPr>
    </w:p>
    <w:tbl>
      <w:tblPr>
        <w:tblW w:type="dxa" w:w="9360"/>
        <w:tblBorders>
          <w:top w:val="single" w:color="D9E9E1" w:sz="2"/>
          <w:left w:val="single" w:color="D9E9E1" w:sz="2"/>
          <w:bottom w:val="single" w:color="D9E9E1" w:sz="2"/>
          <w:right w:val="single" w:color="D9E9E1" w:sz="2"/>
          <w:insideH w:val="single" w:color="auto" w:sz="4"/>
          <w:insideV w:val="single" w:color="D9E9E1" w:sz="2"/>
        </w:tblBorders>
      </w:tblPr>
      <w:tblGrid>
        <w:gridCol w:w="1500"/>
        <w:gridCol w:w="7860"/>
      </w:tblGrid>
      <w:tr>
        <w:tc>
          <w:tcPr>
            <w:tcW w:type="dxa" w:w="1500"/>
            <w:shd w:fill="BC722A" w:color="auto" w:val="clear"/>
            <w:tcMar>
              <w:top w:type="dxa" w:w="120"/>
              <w:left w:type="dxa" w:w="120"/>
              <w:bottom w:type="dxa" w:w="120"/>
              <w:right w:type="dxa" w:w="120"/>
            </w:tcMar>
          </w:tcPr>
          <w:p>
            <w:pPr>
              <w:spacing w:after="0"/>
              <w:jc w:val="center"/>
            </w:pPr>
            <w:r>
              <w:rPr>
                <w:rFonts w:ascii="Calibri" w:cs="Calibri" w:eastAsia="Calibri" w:hAnsi="Calibri"/>
                <w:b/>
                <w:bCs/>
                <w:color w:val="FFFFFF"/>
                <w:sz w:val="22"/>
                <w:szCs w:val="22"/>
              </w:rPr>
              <w:t xml:space="preserve">GELB</w:t>
            </w:r>
          </w:p>
        </w:tc>
        <w:tc>
          <w:tcPr>
            <w:tcW w:type="dxa" w:w="7860"/>
            <w:tcMar>
              <w:top w:type="dxa" w:w="120"/>
              <w:left w:type="dxa" w:w="160"/>
              <w:bottom w:type="dxa" w:w="120"/>
              <w:right w:type="dxa" w:w="160"/>
            </w:tcMar>
          </w:tcPr>
          <w:p>
            <w:pPr>
              <w:spacing w:after="0"/>
            </w:pPr>
            <w:r>
              <w:rPr>
                <w:rFonts w:ascii="Calibri" w:cs="Calibri" w:eastAsia="Calibri" w:hAnsi="Calibri"/>
                <w:color w:val="23423C"/>
                <w:sz w:val="20"/>
                <w:szCs w:val="20"/>
              </w:rPr>
              <w:t xml:space="preserve">Überlastet. Warnsignale: schlecht schlafen, gereizt, freudlos, Rückzug, „nur noch funktionieren“. Jetzt gegensteuern.</w:t>
            </w:r>
          </w:p>
        </w:tc>
      </w:tr>
    </w:tbl>
    <w:p>
      <w:pPr>
        <w:spacing w:after="40"/>
      </w:pPr>
    </w:p>
    <w:tbl>
      <w:tblPr>
        <w:tblW w:type="dxa" w:w="9360"/>
        <w:tblBorders>
          <w:top w:val="single" w:color="D9E9E1" w:sz="2"/>
          <w:left w:val="single" w:color="D9E9E1" w:sz="2"/>
          <w:bottom w:val="single" w:color="D9E9E1" w:sz="2"/>
          <w:right w:val="single" w:color="D9E9E1" w:sz="2"/>
          <w:insideH w:val="single" w:color="auto" w:sz="4"/>
          <w:insideV w:val="single" w:color="D9E9E1" w:sz="2"/>
        </w:tblBorders>
      </w:tblPr>
      <w:tblGrid>
        <w:gridCol w:w="1500"/>
        <w:gridCol w:w="7860"/>
      </w:tblGrid>
      <w:tr>
        <w:tc>
          <w:tcPr>
            <w:tcW w:type="dxa" w:w="1500"/>
            <w:shd w:fill="B85042" w:color="auto" w:val="clear"/>
            <w:tcMar>
              <w:top w:type="dxa" w:w="120"/>
              <w:left w:type="dxa" w:w="120"/>
              <w:bottom w:type="dxa" w:w="120"/>
              <w:right w:type="dxa" w:w="120"/>
            </w:tcMar>
          </w:tcPr>
          <w:p>
            <w:pPr>
              <w:spacing w:after="0"/>
              <w:jc w:val="center"/>
            </w:pPr>
            <w:r>
              <w:rPr>
                <w:rFonts w:ascii="Calibri" w:cs="Calibri" w:eastAsia="Calibri" w:hAnsi="Calibri"/>
                <w:b/>
                <w:bCs/>
                <w:color w:val="FFFFFF"/>
                <w:sz w:val="22"/>
                <w:szCs w:val="22"/>
              </w:rPr>
              <w:t xml:space="preserve">ROT</w:t>
            </w:r>
          </w:p>
        </w:tc>
        <w:tc>
          <w:tcPr>
            <w:tcW w:type="dxa" w:w="7860"/>
            <w:tcMar>
              <w:top w:type="dxa" w:w="120"/>
              <w:left w:type="dxa" w:w="160"/>
              <w:bottom w:type="dxa" w:w="120"/>
              <w:right w:type="dxa" w:w="160"/>
            </w:tcMar>
          </w:tcPr>
          <w:p>
            <w:pPr>
              <w:spacing w:after="0"/>
            </w:pPr>
            <w:r>
              <w:rPr>
                <w:rFonts w:ascii="Calibri" w:cs="Calibri" w:eastAsia="Calibri" w:hAnsi="Calibri"/>
                <w:color w:val="23423C"/>
                <w:sz w:val="20"/>
                <w:szCs w:val="20"/>
              </w:rPr>
              <w:t xml:space="preserve">Krise. Es geht aus eigener Kraft nicht mehr. Jetzt professionelle Hilfe holen (Hausarzt, Krisendienst, 142/144).</w:t>
            </w:r>
          </w:p>
        </w:tc>
      </w:tr>
    </w:tbl>
    <w:p>
      <w:pPr>
        <w:pStyle w:val="Heading2"/>
      </w:pPr>
      <w:r>
        <w:t xml:space="preserve">Meine Selbsteinschätzung heute</w:t>
      </w:r>
    </w:p>
    <w:p>
      <w:pPr>
        <w:spacing w:after="120" w:before="0" w:line="276"/>
      </w:pPr>
      <w:r>
        <w:rPr>
          <w:rFonts w:ascii="Calibri" w:cs="Calibri" w:eastAsia="Calibri" w:hAnsi="Calibri"/>
          <w:color w:val="23423C"/>
          <w:sz w:val="23"/>
          <w:szCs w:val="23"/>
        </w:rPr>
        <w:t xml:space="preserve">Wo stehe ich gerade?   ☐ Grün    ☐ Gelb    ☐ Rot</w:t>
      </w:r>
    </w:p>
    <w:p>
      <w:pPr>
        <w:pStyle w:val="ListParagraph"/>
        <w:numPr>
          <w:ilvl w:val="0"/>
          <w:numId w:val="1"/>
        </w:numPr>
        <w:spacing w:after="70" w:line="264"/>
      </w:pPr>
      <w:r>
        <w:rPr>
          <w:rFonts w:ascii="Calibri" w:cs="Calibri" w:eastAsia="Calibri" w:hAnsi="Calibri"/>
          <w:color w:val="23423C"/>
          <w:sz w:val="23"/>
          <w:szCs w:val="23"/>
        </w:rPr>
        <w:t xml:space="preserve">Woran erkenne ich mein „Gelb“? (persönliche Frühwarnsignale)</w:t>
      </w:r>
    </w:p>
    <w:p>
      <w:pPr>
        <w:pBdr>
          <w:bottom w:val="single" w:color="5E736E" w:sz="4" w:space="3"/>
        </w:pBdr>
        <w:spacing w:after="200" w:before="60"/>
      </w:pPr>
    </w:p>
    <w:p>
      <w:pPr>
        <w:pBdr>
          <w:bottom w:val="single" w:color="5E736E" w:sz="4" w:space="3"/>
        </w:pBdr>
        <w:spacing w:after="200" w:before="60"/>
      </w:pPr>
    </w:p>
    <w:p>
      <w:pPr>
        <w:pStyle w:val="ListParagraph"/>
        <w:numPr>
          <w:ilvl w:val="0"/>
          <w:numId w:val="1"/>
        </w:numPr>
        <w:spacing w:after="70" w:line="264"/>
      </w:pPr>
      <w:r>
        <w:rPr>
          <w:rFonts w:ascii="Calibri" w:cs="Calibri" w:eastAsia="Calibri" w:hAnsi="Calibri"/>
          <w:color w:val="23423C"/>
          <w:sz w:val="23"/>
          <w:szCs w:val="23"/>
        </w:rPr>
        <w:t xml:space="preserve">Was hilft mir, von Gelb zurück zu Grün zu kommen?</w:t>
      </w:r>
    </w:p>
    <w:p>
      <w:pPr>
        <w:pBdr>
          <w:bottom w:val="single" w:color="5E736E" w:sz="4" w:space="3"/>
        </w:pBdr>
        <w:spacing w:after="200" w:before="60"/>
      </w:pPr>
    </w:p>
    <w:p>
      <w:pPr>
        <w:pBdr>
          <w:bottom w:val="single" w:color="5E736E" w:sz="4" w:space="3"/>
        </w:pBdr>
        <w:spacing w:after="200" w:before="60"/>
      </w:pPr>
    </w:p>
    <w:p>
      <w:pPr>
        <w:pStyle w:val="ListParagraph"/>
        <w:numPr>
          <w:ilvl w:val="0"/>
          <w:numId w:val="1"/>
        </w:numPr>
        <w:spacing w:after="70" w:line="264"/>
      </w:pPr>
      <w:r>
        <w:rPr>
          <w:rFonts w:ascii="Calibri" w:cs="Calibri" w:eastAsia="Calibri" w:hAnsi="Calibri"/>
          <w:color w:val="23423C"/>
          <w:sz w:val="23"/>
          <w:szCs w:val="23"/>
        </w:rPr>
        <w:t xml:space="preserve">Wen könnte ich in „Rot“ anrufen?</w:t>
      </w:r>
    </w:p>
    <w:p>
      <w:pPr>
        <w:pBdr>
          <w:bottom w:val="single" w:color="5E736E" w:sz="4" w:space="3"/>
        </w:pBdr>
        <w:spacing w:after="200" w:before="60"/>
      </w:pPr>
    </w:p>
    <w:p>
      <w:r>
        <w:br w:type="page"/>
      </w:r>
    </w:p>
    <w:p>
      <w:pPr>
        <w:pStyle w:val="Heading1"/>
      </w:pPr>
      <w:r>
        <w:t xml:space="preserve">A9 · Reflexionsbogen</w:t>
      </w:r>
    </w:p>
    <w:p>
      <w:pPr>
        <w:spacing w:after="120" w:before="0" w:line="276"/>
      </w:pPr>
      <w:r>
        <w:rPr>
          <w:rFonts w:ascii="Calibri" w:cs="Calibri" w:eastAsia="Calibri" w:hAnsi="Calibri"/>
          <w:color w:val="23423C"/>
          <w:sz w:val="23"/>
          <w:szCs w:val="23"/>
        </w:rPr>
        <w:t xml:space="preserve">Zum Abschluss. Nehmen Sie sich ein paar ruhige Minuten. Der Bogen bleibt bei Ihnen.</w:t>
      </w:r>
    </w:p>
    <w:p>
      <w:pPr>
        <w:spacing w:after="40" w:before="120"/>
      </w:pPr>
      <w:r>
        <w:rPr>
          <w:rFonts w:ascii="Calibri" w:cs="Calibri" w:eastAsia="Calibri" w:hAnsi="Calibri"/>
          <w:b/>
          <w:bCs/>
          <w:color w:val="2C7A6B"/>
          <w:sz w:val="21"/>
          <w:szCs w:val="21"/>
        </w:rPr>
        <w:t xml:space="preserve">Was nehme ich aus dem heutigen Workshop mit?</w:t>
      </w:r>
    </w:p>
    <w:p>
      <w:pPr>
        <w:pBdr>
          <w:bottom w:val="single" w:color="5E736E" w:sz="4" w:space="3"/>
        </w:pBdr>
        <w:spacing w:after="200" w:before="60"/>
      </w:pPr>
    </w:p>
    <w:p>
      <w:pPr>
        <w:pBdr>
          <w:bottom w:val="single" w:color="5E736E" w:sz="4" w:space="3"/>
        </w:pBdr>
        <w:spacing w:after="200" w:before="60"/>
      </w:pPr>
    </w:p>
    <w:p>
      <w:pPr>
        <w:spacing w:after="40" w:before="120"/>
      </w:pPr>
      <w:r>
        <w:rPr>
          <w:rFonts w:ascii="Calibri" w:cs="Calibri" w:eastAsia="Calibri" w:hAnsi="Calibri"/>
          <w:b/>
          <w:bCs/>
          <w:color w:val="2C7A6B"/>
          <w:sz w:val="21"/>
          <w:szCs w:val="21"/>
        </w:rPr>
        <w:t xml:space="preserve">Welches Bild / welcher Vergleich ist mir am stärksten im Gedächtnis geblieben?</w:t>
      </w:r>
    </w:p>
    <w:p>
      <w:pPr>
        <w:pBdr>
          <w:bottom w:val="single" w:color="5E736E" w:sz="4" w:space="3"/>
        </w:pBdr>
        <w:spacing w:after="200" w:before="60"/>
      </w:pPr>
    </w:p>
    <w:p>
      <w:pPr>
        <w:pBdr>
          <w:bottom w:val="single" w:color="5E736E" w:sz="4" w:space="3"/>
        </w:pBdr>
        <w:spacing w:after="200" w:before="60"/>
      </w:pPr>
    </w:p>
    <w:p>
      <w:pPr>
        <w:spacing w:after="40" w:before="120"/>
      </w:pPr>
      <w:r>
        <w:rPr>
          <w:rFonts w:ascii="Calibri" w:cs="Calibri" w:eastAsia="Calibri" w:hAnsi="Calibri"/>
          <w:b/>
          <w:bCs/>
          <w:color w:val="2C7A6B"/>
          <w:sz w:val="21"/>
          <w:szCs w:val="21"/>
        </w:rPr>
        <w:t xml:space="preserve">Was habe ich über mich selbst gemerkt?</w:t>
      </w:r>
    </w:p>
    <w:p>
      <w:pPr>
        <w:pBdr>
          <w:bottom w:val="single" w:color="5E736E" w:sz="4" w:space="3"/>
        </w:pBdr>
        <w:spacing w:after="200" w:before="60"/>
      </w:pPr>
    </w:p>
    <w:p>
      <w:pPr>
        <w:pBdr>
          <w:bottom w:val="single" w:color="5E736E" w:sz="4" w:space="3"/>
        </w:pBdr>
        <w:spacing w:after="200" w:before="60"/>
      </w:pPr>
    </w:p>
    <w:p>
      <w:pPr>
        <w:spacing w:after="40" w:before="120"/>
      </w:pPr>
      <w:r>
        <w:rPr>
          <w:rFonts w:ascii="Calibri" w:cs="Calibri" w:eastAsia="Calibri" w:hAnsi="Calibri"/>
          <w:b/>
          <w:bCs/>
          <w:color w:val="2C7A6B"/>
          <w:sz w:val="21"/>
          <w:szCs w:val="21"/>
        </w:rPr>
        <w:t xml:space="preserve">An welchen Menschen habe ich heute gedacht?</w:t>
      </w:r>
    </w:p>
    <w:p>
      <w:pPr>
        <w:pBdr>
          <w:bottom w:val="single" w:color="5E736E" w:sz="4" w:space="3"/>
        </w:pBdr>
        <w:spacing w:after="200" w:before="60"/>
      </w:pPr>
    </w:p>
    <w:p>
      <w:pPr>
        <w:pBdr>
          <w:bottom w:val="single" w:color="5E736E" w:sz="4" w:space="3"/>
        </w:pBdr>
        <w:spacing w:after="200" w:before="60"/>
      </w:pPr>
    </w:p>
    <w:p>
      <w:pPr>
        <w:spacing w:after="40" w:before="120"/>
      </w:pPr>
      <w:r>
        <w:rPr>
          <w:rFonts w:ascii="Calibri" w:cs="Calibri" w:eastAsia="Calibri" w:hAnsi="Calibri"/>
          <w:b/>
          <w:bCs/>
          <w:color w:val="2C7A6B"/>
          <w:sz w:val="21"/>
          <w:szCs w:val="21"/>
        </w:rPr>
        <w:t xml:space="preserve">Was mache ich ab morgen konkret anders? (Mein erster Schritt)</w:t>
      </w:r>
    </w:p>
    <w:p>
      <w:pPr>
        <w:pBdr>
          <w:bottom w:val="single" w:color="5E736E" w:sz="4" w:space="3"/>
        </w:pBdr>
        <w:spacing w:after="200" w:before="60"/>
      </w:pPr>
    </w:p>
    <w:p>
      <w:pPr>
        <w:pBdr>
          <w:bottom w:val="single" w:color="5E736E" w:sz="4" w:space="3"/>
        </w:pBdr>
        <w:spacing w:after="200" w:before="60"/>
      </w:pPr>
    </w:p>
    <w:p>
      <w:pPr>
        <w:spacing w:after="40" w:before="120"/>
      </w:pPr>
      <w:r>
        <w:rPr>
          <w:rFonts w:ascii="Calibri" w:cs="Calibri" w:eastAsia="Calibri" w:hAnsi="Calibri"/>
          <w:b/>
          <w:bCs/>
          <w:color w:val="2C7A6B"/>
          <w:sz w:val="21"/>
          <w:szCs w:val="21"/>
        </w:rPr>
        <w:t xml:space="preserve">Was bedeutet „Stärke“ für mich – nach heute?</w:t>
      </w:r>
    </w:p>
    <w:p>
      <w:pPr>
        <w:pBdr>
          <w:bottom w:val="single" w:color="5E736E" w:sz="4" w:space="3"/>
        </w:pBdr>
        <w:spacing w:after="200" w:before="60"/>
      </w:pPr>
    </w:p>
    <w:p>
      <w:pPr>
        <w:pBdr>
          <w:bottom w:val="single" w:color="5E736E" w:sz="4" w:space="3"/>
        </w:pBdr>
        <w:spacing w:after="200" w:before="60"/>
      </w:pPr>
    </w:p>
    <w:tbl>
      <w:tblPr>
        <w:tblW w:type="dxa" w:w="9360"/>
        <w:tblBorders>
          <w:top w:val="single" w:color="E6F2EC" w:sz="2"/>
          <w:left w:val="single" w:color="2E9284" w:sz="18"/>
          <w:bottom w:val="single" w:color="E6F2EC" w:sz="2"/>
          <w:right w:val="single" w:color="E6F2EC" w:sz="2"/>
          <w:insideH w:val="none"/>
          <w:insideV w:val="none"/>
        </w:tblBorders>
      </w:tblPr>
      <w:tblGrid>
        <w:gridCol w:w="9360"/>
      </w:tblGrid>
      <w:tr>
        <w:tc>
          <w:tcPr>
            <w:tcW w:type="dxa" w:w="9360"/>
            <w:shd w:fill="E6F2EC" w:color="auto" w:val="clear"/>
            <w:tcMar>
              <w:top w:type="dxa" w:w="140"/>
              <w:left w:type="dxa" w:w="200"/>
              <w:bottom w:type="dxa" w:w="140"/>
              <w:right w:type="dxa" w:w="200"/>
            </w:tcMar>
          </w:tcPr>
          <w:p>
            <w:pPr>
              <w:spacing w:after="60"/>
            </w:pPr>
            <w:r>
              <w:rPr>
                <w:rFonts w:ascii="Cambria" w:cs="Cambria" w:eastAsia="Cambria" w:hAnsi="Cambria"/>
                <w:b/>
                <w:bCs/>
                <w:color w:val="2E9284"/>
                <w:sz w:val="24"/>
                <w:szCs w:val="24"/>
              </w:rPr>
              <w:t xml:space="preserve">Ein Satz zum Mitnehmen</w:t>
            </w:r>
          </w:p>
          <w:p>
            <w:pPr>
              <w:spacing w:after="0" w:before="0" w:line="276"/>
            </w:pPr>
            <w:r>
              <w:rPr>
                <w:rFonts w:ascii="Calibri" w:cs="Calibri" w:eastAsia="Calibri" w:hAnsi="Calibri"/>
                <w:i/>
                <w:iCs/>
                <w:color w:val="2C7A6B"/>
                <w:sz w:val="23"/>
                <w:szCs w:val="23"/>
              </w:rPr>
              <w:t xml:space="preserve">„Man sieht es einem nicht an. Aber jetzt weiß ich, wie man hinschaut – und was ein einziger verständnisvoller Mensch verändern kann.“</w:t>
            </w:r>
          </w:p>
        </w:tc>
      </w:tr>
    </w:tbl>
    <w:p>
      <w:r>
        <w:br w:type="page"/>
      </w:r>
    </w:p>
    <w:p>
      <w:pPr>
        <w:pStyle w:val="Heading1"/>
      </w:pPr>
      <w:r>
        <w:t xml:space="preserve">A10 · Anlaufstellen in Österreich (zum Mitnehmen)</w:t>
      </w:r>
    </w:p>
    <w:tbl>
      <w:tblPr>
        <w:tblW w:type="dxa" w:w="9360"/>
        <w:tblBorders>
          <w:top w:val="single" w:color="F8EEDD" w:sz="2"/>
          <w:left w:val="single" w:color="BC722A" w:sz="18"/>
          <w:bottom w:val="single" w:color="F8EEDD" w:sz="2"/>
          <w:right w:val="single" w:color="F8EEDD" w:sz="2"/>
          <w:insideH w:val="none"/>
          <w:insideV w:val="none"/>
        </w:tblBorders>
      </w:tblPr>
      <w:tblGrid>
        <w:gridCol w:w="9360"/>
      </w:tblGrid>
      <w:tr>
        <w:tc>
          <w:tcPr>
            <w:tcW w:type="dxa" w:w="9360"/>
            <w:shd w:fill="F8EEDD" w:color="auto" w:val="clear"/>
            <w:tcMar>
              <w:top w:type="dxa" w:w="140"/>
              <w:left w:type="dxa" w:w="200"/>
              <w:bottom w:type="dxa" w:w="140"/>
              <w:right w:type="dxa" w:w="200"/>
            </w:tcMar>
          </w:tcPr>
          <w:p>
            <w:pPr>
              <w:spacing w:after="60"/>
            </w:pPr>
            <w:r>
              <w:rPr>
                <w:rFonts w:ascii="Cambria" w:cs="Cambria" w:eastAsia="Cambria" w:hAnsi="Cambria"/>
                <w:b/>
                <w:bCs/>
                <w:color w:val="BC722A"/>
                <w:sz w:val="24"/>
                <w:szCs w:val="24"/>
              </w:rPr>
              <w:t xml:space="preserve">Im Notfall / bei akuter Krise</w:t>
            </w:r>
          </w:p>
          <w:p>
            <w:pPr>
              <w:spacing w:after="40" w:before="0" w:line="276"/>
            </w:pPr>
            <w:r>
              <w:rPr>
                <w:rFonts w:ascii="Calibri" w:cs="Calibri" w:eastAsia="Calibri" w:hAnsi="Calibri"/>
                <w:b/>
                <w:bCs/>
                <w:color w:val="BC722A"/>
                <w:sz w:val="26"/>
                <w:szCs w:val="26"/>
              </w:rPr>
              <w:t xml:space="preserve">Rettung 144  ·  Euronotruf 112  ·  Telefonseelsorge 142</w:t>
            </w:r>
          </w:p>
          <w:p>
            <w:pPr>
              <w:spacing w:after="0" w:before="0" w:line="276"/>
            </w:pPr>
            <w:r>
              <w:rPr>
                <w:rFonts w:ascii="Calibri" w:cs="Calibri" w:eastAsia="Calibri" w:hAnsi="Calibri"/>
                <w:i/>
                <w:iCs/>
                <w:color w:val="5E736E"/>
                <w:sz w:val="23"/>
                <w:szCs w:val="23"/>
              </w:rPr>
              <w:t xml:space="preserve">Telefonseelsorge 142 – rund um die Uhr, kostenlos, anonym.</w:t>
            </w:r>
          </w:p>
        </w:tc>
      </w:tr>
    </w:tbl>
    <w:p>
      <w:pPr>
        <w:spacing w:after="80"/>
      </w:pPr>
    </w:p>
    <w:tbl>
      <w:tblPr>
        <w:tblW w:type="dxa" w:w="9360"/>
        <w:tblBorders>
          <w:top w:val="single" w:color="D9E9E1" w:sz="2"/>
          <w:left w:val="single" w:color="D9E9E1" w:sz="2"/>
          <w:bottom w:val="single" w:color="D9E9E1" w:sz="2"/>
          <w:right w:val="single" w:color="D9E9E1" w:sz="2"/>
          <w:insideH w:val="single" w:color="D9E9E1" w:sz="2"/>
          <w:insideV w:val="single" w:color="D9E9E1" w:sz="2"/>
        </w:tblBorders>
      </w:tblPr>
      <w:tblGrid>
        <w:gridCol w:w="3000"/>
        <w:gridCol w:w="2400"/>
        <w:gridCol w:w="3960"/>
      </w:tblGrid>
      <w:tr>
        <w:trPr>
          <w:tblHeader/>
        </w:trPr>
        <w:tc>
          <w:tcPr>
            <w:tcW w:type="dxa" w:w="30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Angebot</w:t>
            </w:r>
          </w:p>
        </w:tc>
        <w:tc>
          <w:tcPr>
            <w:tcW w:type="dxa" w:w="240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Kontakt</w:t>
            </w:r>
          </w:p>
        </w:tc>
        <w:tc>
          <w:tcPr>
            <w:tcW w:type="dxa" w:w="3960"/>
            <w:shd w:fill="2C7A6B" w:color="auto" w:val="clear"/>
            <w:tcMar>
              <w:top w:type="dxa" w:w="80"/>
              <w:left w:type="dxa" w:w="120"/>
              <w:bottom w:type="dxa" w:w="80"/>
              <w:right w:type="dxa" w:w="120"/>
            </w:tcMar>
          </w:tcPr>
          <w:p>
            <w:pPr>
              <w:spacing w:after="0"/>
            </w:pPr>
            <w:r>
              <w:rPr>
                <w:rFonts w:ascii="Calibri" w:cs="Calibri" w:eastAsia="Calibri" w:hAnsi="Calibri"/>
                <w:b/>
                <w:bCs/>
                <w:color w:val="FFFFFF"/>
                <w:sz w:val="21"/>
                <w:szCs w:val="21"/>
              </w:rPr>
              <w:t xml:space="preserve">Für wen / wann</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Telefonseelsorge</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142</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alle · 24 h · anonym, kostenlos</w:t>
            </w:r>
          </w:p>
        </w:tc>
      </w:tr>
      <w:tr>
        <w:tc>
          <w:tcPr>
            <w:tcW w:type="dxa" w:w="300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Rat auf Draht</w:t>
            </w:r>
          </w:p>
        </w:tc>
        <w:tc>
          <w:tcPr>
            <w:tcW w:type="dxa" w:w="24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147</w:t>
            </w:r>
          </w:p>
        </w:tc>
        <w:tc>
          <w:tcPr>
            <w:tcW w:type="dxa" w:w="396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Kinder &amp; Jugendliche · 24 h</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Ö3-Kummernummer</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116 123</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alle · täglich 16–24 Uhr</w:t>
            </w:r>
          </w:p>
        </w:tc>
      </w:tr>
      <w:tr>
        <w:tc>
          <w:tcPr>
            <w:tcW w:type="dxa" w:w="300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pro mente Austria</w:t>
            </w:r>
          </w:p>
        </w:tc>
        <w:tc>
          <w:tcPr>
            <w:tcW w:type="dxa" w:w="24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promente-austria.at</w:t>
            </w:r>
          </w:p>
        </w:tc>
        <w:tc>
          <w:tcPr>
            <w:tcW w:type="dxa" w:w="396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psychosoziale Beratung, bundesweit</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HPE Österreich</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hpe.at</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Angehörige psychisch erkrankter Menschen</w:t>
            </w:r>
          </w:p>
        </w:tc>
      </w:tr>
      <w:tr>
        <w:tc>
          <w:tcPr>
            <w:tcW w:type="dxa" w:w="3000"/>
            <w:shd w:fill="F1F8F4"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Kriseninterventionszentrum Wien</w:t>
            </w:r>
          </w:p>
        </w:tc>
        <w:tc>
          <w:tcPr>
            <w:tcW w:type="dxa" w:w="240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01 / 406 95 95</w:t>
            </w:r>
          </w:p>
        </w:tc>
        <w:tc>
          <w:tcPr>
            <w:tcW w:type="dxa" w:w="3960"/>
            <w:shd w:fill="F1F8F4"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Krisen · Mo–Fr (Wien)</w:t>
            </w:r>
          </w:p>
        </w:tc>
      </w:tr>
      <w:tr>
        <w:tc>
          <w:tcPr>
            <w:tcW w:type="dxa" w:w="3000"/>
            <w:shd w:fill="FFFFFF" w:color="auto" w:val="clear"/>
            <w:tcMar>
              <w:top w:type="dxa" w:w="70"/>
              <w:left w:type="dxa" w:w="120"/>
              <w:bottom w:type="dxa" w:w="70"/>
              <w:right w:type="dxa" w:w="120"/>
            </w:tcMar>
          </w:tcPr>
          <w:p>
            <w:pPr>
              <w:spacing w:after="0" w:line="250"/>
            </w:pPr>
            <w:r>
              <w:rPr>
                <w:rFonts w:ascii="Calibri" w:cs="Calibri" w:eastAsia="Calibri" w:hAnsi="Calibri"/>
                <w:b/>
                <w:bCs/>
                <w:color w:val="23423C"/>
                <w:sz w:val="22"/>
                <w:szCs w:val="22"/>
              </w:rPr>
              <w:t xml:space="preserve">Hausärztin / Hausarzt</w:t>
            </w:r>
          </w:p>
        </w:tc>
        <w:tc>
          <w:tcPr>
            <w:tcW w:type="dxa" w:w="240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w:t>
            </w:r>
          </w:p>
        </w:tc>
        <w:tc>
          <w:tcPr>
            <w:tcW w:type="dxa" w:w="3960"/>
            <w:shd w:fill="FFFFFF" w:color="auto" w:val="clear"/>
            <w:tcMar>
              <w:top w:type="dxa" w:w="70"/>
              <w:left w:type="dxa" w:w="120"/>
              <w:bottom w:type="dxa" w:w="70"/>
              <w:right w:type="dxa" w:w="120"/>
            </w:tcMar>
          </w:tcPr>
          <w:p>
            <w:pPr>
              <w:spacing w:after="0" w:line="250"/>
            </w:pPr>
            <w:r>
              <w:rPr>
                <w:rFonts w:ascii="Calibri" w:cs="Calibri" w:eastAsia="Calibri" w:hAnsi="Calibri"/>
                <w:b w:val="false"/>
                <w:bCs w:val="false"/>
                <w:color w:val="23423C"/>
                <w:sz w:val="22"/>
                <w:szCs w:val="22"/>
              </w:rPr>
              <w:t xml:space="preserve">erste Anlaufstelle, Überweisung</w:t>
            </w:r>
          </w:p>
        </w:tc>
      </w:tr>
    </w:tbl>
    <w:p>
      <w:pPr>
        <w:pStyle w:val="Heading2"/>
      </w:pPr>
      <w:r>
        <w:t xml:space="preserve">Regionale Angebote (bitte ergänzen)</w:t>
      </w:r>
    </w:p>
    <w:p>
      <w:pPr>
        <w:pBdr>
          <w:bottom w:val="single" w:color="5E736E" w:sz="4" w:space="3"/>
        </w:pBdr>
        <w:spacing w:after="200" w:before="60"/>
      </w:pPr>
    </w:p>
    <w:p>
      <w:pPr>
        <w:pBdr>
          <w:bottom w:val="single" w:color="5E736E" w:sz="4" w:space="3"/>
        </w:pBdr>
        <w:spacing w:after="200" w:before="60"/>
      </w:pPr>
    </w:p>
    <w:p>
      <w:pPr>
        <w:pBdr>
          <w:bottom w:val="single" w:color="5E736E" w:sz="4" w:space="3"/>
        </w:pBdr>
        <w:spacing w:after="200" w:before="60"/>
      </w:pP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736E"/>
        <w:sz w:val="16"/>
        <w:szCs w:val="16"/>
      </w:rPr>
      <w:t xml:space="preserve">Kopiervorlage · Seite </w:t>
    </w:r>
    <w:r>
      <w:rPr>
        <w:rFonts w:ascii="Calibri" w:cs="Calibri" w:eastAsia="Calibri" w:hAnsi="Calibri"/>
        <w:color w:val="5E73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9E1" w:sz="4" w:space="4"/>
      </w:pBdr>
      <w:spacing w:after="0"/>
      <w:jc w:val="right"/>
    </w:pPr>
    <w:r>
      <w:rPr>
        <w:rFonts w:ascii="Calibri" w:cs="Calibri" w:eastAsia="Calibri" w:hAnsi="Calibri"/>
        <w:color w:val="5E736E"/>
        <w:sz w:val="16"/>
        <w:szCs w:val="16"/>
      </w:rPr>
      <w:t xml:space="preserve">„Man sieht es mir nicht an“ · Arbeitsblätter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42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2C7A6B"/>
      <w:sz w:val="52"/>
      <w:szCs w:val="52"/>
    </w:rPr>
  </w:style>
  <w:style w:type="paragraph" w:styleId="Subtitle">
    <w:name w:val="Subtitle"/>
    <w:basedOn w:val="Normal"/>
    <w:next w:val="Normal"/>
    <w:pPr>
      <w:spacing w:after="240"/>
    </w:pPr>
    <w:rPr>
      <w:rFonts w:ascii="Cambria" w:cs="Cambria" w:eastAsia="Cambria" w:hAnsi="Cambria"/>
      <w:i/>
      <w:iCs/>
      <w:color w:val="2E9284"/>
      <w:sz w:val="26"/>
      <w:szCs w:val="26"/>
    </w:rPr>
  </w:style>
  <w:style w:type="paragraph" w:styleId="Heading1">
    <w:name w:val="Heading 1"/>
    <w:basedOn w:val="Normal"/>
    <w:next w:val="Normal"/>
    <w:qFormat/>
    <w:pPr>
      <w:keepNext/>
      <w:pBdr>
        <w:bottom w:val="single" w:color="D9E9E1" w:sz="8" w:space="6"/>
      </w:pBdr>
      <w:spacing w:after="140" w:before="320"/>
    </w:pPr>
    <w:rPr>
      <w:rFonts w:ascii="Cambria" w:cs="Cambria" w:eastAsia="Cambria" w:hAnsi="Cambria"/>
      <w:b/>
      <w:bCs/>
      <w:color w:val="2C7A6B"/>
      <w:sz w:val="33"/>
      <w:szCs w:val="33"/>
    </w:rPr>
  </w:style>
  <w:style w:type="paragraph" w:styleId="Heading2">
    <w:name w:val="Heading 2"/>
    <w:basedOn w:val="Normal"/>
    <w:next w:val="Normal"/>
    <w:qFormat/>
    <w:pPr>
      <w:keepNext/>
      <w:spacing w:after="100" w:before="240"/>
    </w:pPr>
    <w:rPr>
      <w:rFonts w:ascii="Cambria" w:cs="Cambria" w:eastAsia="Cambria" w:hAnsi="Cambria"/>
      <w:b/>
      <w:bCs/>
      <w:color w:val="2E9284"/>
      <w:sz w:val="27"/>
      <w:szCs w:val="27"/>
    </w:rPr>
  </w:style>
  <w:style w:type="paragraph" w:styleId="Heading3">
    <w:name w:val="Heading 3"/>
    <w:basedOn w:val="Normal"/>
    <w:next w:val="Normal"/>
    <w:qFormat/>
    <w:pPr>
      <w:keepNext/>
      <w:spacing w:after="80" w:before="160"/>
    </w:pPr>
    <w:rPr>
      <w:rFonts w:ascii="Cambria" w:cs="Cambria" w:eastAsia="Cambria" w:hAnsi="Cambria"/>
      <w:b/>
      <w:bCs/>
      <w:color w:val="BC72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1bd6d51e26be1f18f502477289893206daa03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Arbeitsblätter &amp; Kopiervorlagen – Man sieht es mir nicht an</dc:title>
  <dc:creator>Erlebnis-Workshop Psychische Gesundheit</dc:creator>
  <cp:lastModifiedBy>Un-named</cp:lastModifiedBy>
  <cp:revision>1</cp:revision>
  <dcterms:created xsi:type="dcterms:W3CDTF">2026-07-23T15:14:34.209Z</dcterms:created>
  <dcterms:modified xsi:type="dcterms:W3CDTF">2026-07-23T15:14:34.210Z</dcterms:modified>
</cp:coreProperties>
</file>

<file path=docProps/custom.xml><?xml version="1.0" encoding="utf-8"?>
<Properties xmlns="http://schemas.openxmlformats.org/officeDocument/2006/custom-properties" xmlns:vt="http://schemas.openxmlformats.org/officeDocument/2006/docPropsVTypes"/>
</file>