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3F7C79"/>
          <w:sz w:val="22"/>
          <w:szCs w:val="22"/>
        </w:rPr>
        <w:t xml:space="preserve">ERLEBNIS-WORKSHOP · PSYCHISCHE GESUNDHEIT</w:t>
      </w:r>
    </w:p>
    <w:p>
      <w:pPr>
        <w:spacing w:after="0" w:before="240"/>
      </w:pPr>
      <w:r>
        <w:rPr>
          <w:rFonts w:ascii="Cambria" w:cs="Cambria" w:eastAsia="Cambria" w:hAnsi="Cambria"/>
          <w:b/>
          <w:bCs/>
          <w:color w:val="2E4A52"/>
          <w:sz w:val="68"/>
          <w:szCs w:val="68"/>
        </w:rPr>
        <w:t xml:space="preserve">„Man sieht es mir</w:t>
      </w:r>
    </w:p>
    <w:p>
      <w:pPr>
        <w:spacing w:after="200"/>
      </w:pPr>
      <w:r>
        <w:rPr>
          <w:rFonts w:ascii="Cambria" w:cs="Cambria" w:eastAsia="Cambria" w:hAnsi="Cambria"/>
          <w:b/>
          <w:bCs/>
          <w:color w:val="2E4A52"/>
          <w:sz w:val="68"/>
          <w:szCs w:val="68"/>
        </w:rPr>
        <w:t xml:space="preserve">nicht an.“</w:t>
      </w:r>
    </w:p>
    <w:p>
      <w:pPr>
        <w:spacing w:after="80"/>
      </w:pPr>
      <w:r>
        <w:rPr>
          <w:rFonts w:ascii="Cambria" w:cs="Cambria" w:eastAsia="Cambria" w:hAnsi="Cambria"/>
          <w:i/>
          <w:iCs/>
          <w:color w:val="3F7C79"/>
          <w:sz w:val="26"/>
          <w:szCs w:val="26"/>
        </w:rPr>
        <w:t xml:space="preserve">Wie sich Depression, Angst und Trauma wirklich anfühlen –</w:t>
      </w:r>
    </w:p>
    <w:p>
      <w:pPr>
        <w:spacing w:after="600"/>
      </w:pPr>
      <w:r>
        <w:rPr>
          <w:rFonts w:ascii="Cambria" w:cs="Cambria" w:eastAsia="Cambria" w:hAnsi="Cambria"/>
          <w:i/>
          <w:iCs/>
          <w:color w:val="3F7C79"/>
          <w:sz w:val="26"/>
          <w:szCs w:val="26"/>
        </w:rPr>
        <w:t xml:space="preserve">und wie wir Betroffene wirklich begleiten.</w:t>
      </w:r>
    </w:p>
    <w:p>
      <w:pPr>
        <w:pBdr>
          <w:top w:val="single" w:color="DCE6E3" w:sz="8" w:space="8"/>
        </w:pBdr>
        <w:spacing w:after="200" w:before="200"/>
      </w:pPr>
    </w:p>
    <w:p>
      <w:pPr>
        <w:spacing w:after="60"/>
      </w:pPr>
      <w:r>
        <w:rPr>
          <w:rFonts w:ascii="Calibri" w:cs="Calibri" w:eastAsia="Calibri" w:hAnsi="Calibri"/>
          <w:b/>
          <w:bCs/>
          <w:color w:val="B9793B"/>
          <w:sz w:val="24"/>
          <w:szCs w:val="24"/>
        </w:rPr>
        <w:t xml:space="preserve">TRAINERHANDBUCH &amp; SEMINARUNTERLAGE</w:t>
      </w:r>
    </w:p>
    <w:p>
      <w:pPr>
        <w:spacing w:after="40"/>
      </w:pPr>
      <w:r>
        <w:rPr>
          <w:rFonts w:ascii="Calibri" w:cs="Calibri" w:eastAsia="Calibri" w:hAnsi="Calibri"/>
          <w:color w:val="5E6E73"/>
          <w:sz w:val="20"/>
          <w:szCs w:val="20"/>
        </w:rPr>
        <w:t xml:space="preserve">Vollständiger Ablauf · Sprechtexte · 7 Übungen · Diskussionsfragen · Anlaufstellen</w:t>
      </w:r>
    </w:p>
    <w:p>
      <w:pPr>
        <w:spacing w:after="40"/>
      </w:pPr>
      <w:r>
        <w:rPr>
          <w:rFonts w:ascii="Calibri" w:cs="Calibri" w:eastAsia="Calibri" w:hAnsi="Calibri"/>
          <w:color w:val="5E6E73"/>
          <w:sz w:val="20"/>
          <w:szCs w:val="20"/>
        </w:rPr>
        <w:t xml:space="preserve">Dauer: ca. 4 Stunden (inkl. Pause) · Für Betriebe, Vereine &amp; öffentliche Veranstaltungen</w:t>
      </w:r>
    </w:p>
    <w:p>
      <w:pPr>
        <w:spacing w:after="40" w:before="500"/>
      </w:pPr>
      <w:r>
        <w:rPr>
          <w:rFonts w:ascii="Calibri" w:cs="Calibri" w:eastAsia="Calibri" w:hAnsi="Calibri"/>
          <w:color w:val="233139"/>
          <w:sz w:val="22"/>
          <w:szCs w:val="22"/>
        </w:rPr>
        <w:t xml:space="preserve">Referent: ______________________________________</w:t>
      </w:r>
    </w:p>
    <w:p>
      <w:pPr>
        <w:spacing w:after="40"/>
      </w:pPr>
      <w:r>
        <w:rPr>
          <w:rFonts w:ascii="Calibri" w:cs="Calibri" w:eastAsia="Calibri" w:hAnsi="Calibri"/>
          <w:color w:val="233139"/>
          <w:sz w:val="22"/>
          <w:szCs w:val="22"/>
        </w:rPr>
        <w:t xml:space="preserve">Datum / Veranstaltung: ___________________________</w:t>
      </w:r>
    </w:p>
    <w:p>
      <w:r>
        <w:br w:type="page"/>
      </w:r>
    </w:p>
    <w:p>
      <w:pPr>
        <w:pStyle w:val="Heading1"/>
      </w:pPr>
      <w:r>
        <w:t xml:space="preserve">Inhalt</w:t>
      </w:r>
    </w:p>
    <w:sdt>
      <w:sdtPr>
        <w:alias w:val="Inhalt"/>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E6E73"/>
          <w:sz w:val="18"/>
          <w:szCs w:val="18"/>
        </w:rPr>
        <w:t xml:space="preserve">Hinweis: In Word das Inhaltsverzeichnis mit Rechtsklick → „Felder aktualisieren“ neu berechnen.</w:t>
      </w:r>
    </w:p>
    <w:p>
      <w:r>
        <w:br w:type="page"/>
      </w:r>
    </w:p>
    <w:p>
      <w:pPr>
        <w:pStyle w:val="Heading1"/>
      </w:pPr>
      <w:r>
        <w:t xml:space="preserve">1  Über diese Seminarunterlage</w:t>
      </w:r>
    </w:p>
    <w:p>
      <w:pPr>
        <w:spacing w:after="120" w:before="0" w:line="276"/>
      </w:pPr>
      <w:r>
        <w:rPr>
          <w:rFonts w:ascii="Calibri" w:cs="Calibri" w:eastAsia="Calibri" w:hAnsi="Calibri"/>
          <w:color w:val="233139"/>
          <w:sz w:val="21"/>
          <w:szCs w:val="21"/>
        </w:rPr>
        <w:t xml:space="preserve">Diese Unterlage ist ein vollständiges, einsatzfertiges Konzept für einen halbtägigen Erlebnis-Workshop zum Thema psychische Gesundheit. Sie ist bewusst so aufgebaut, dass Sie den Workshop unter Ihrem eigenen Namen als Referent halten können – vom ersten Wort der Begrüßung bis zum Abschluss.</w:t>
      </w:r>
    </w:p>
    <w:p>
      <w:pPr>
        <w:spacing w:after="120" w:before="0" w:line="276"/>
      </w:pPr>
      <w:r>
        <w:rPr>
          <w:rFonts w:ascii="Calibri" w:cs="Calibri" w:eastAsia="Calibri" w:hAnsi="Calibri"/>
          <w:color w:val="233139"/>
          <w:sz w:val="21"/>
          <w:szCs w:val="21"/>
        </w:rPr>
        <w:t xml:space="preserve">Der Anspruch entspricht dem Niveau professioneller Fortbildungen von Krankenkassen und psychosozialen Einrichtungen. Gleichzeitig ist es kein medizinischer Fachvortrag, sondern ein Erlebnis-Workshop: Die Teilnehmenden sollen am Ende nicht nur wissen, was eine Depression oder Angststörung ist, sondern nachvollziehen können, wie sich das anfühlt.</w:t>
      </w:r>
    </w:p>
    <w:p>
      <w:pPr>
        <w:pStyle w:val="Heading2"/>
      </w:pPr>
      <w:r>
        <w:t xml:space="preserve">Was zur Unterlage gehört</w:t>
      </w:r>
    </w:p>
    <w:p>
      <w:pPr>
        <w:pStyle w:val="ListParagraph"/>
        <w:numPr>
          <w:ilvl w:val="0"/>
          <w:numId w:val="1"/>
        </w:numPr>
        <w:spacing w:after="70" w:line="264"/>
      </w:pPr>
      <w:r>
        <w:rPr>
          <w:rFonts w:ascii="Calibri" w:cs="Calibri" w:eastAsia="Calibri" w:hAnsi="Calibri"/>
          <w:b/>
          <w:bCs/>
          <w:color w:val="233139"/>
          <w:sz w:val="21"/>
          <w:szCs w:val="21"/>
        </w:rPr>
        <w:t xml:space="preserve">Foliensatz </w:t>
      </w:r>
      <w:r>
        <w:rPr>
          <w:rFonts w:ascii="Calibri" w:cs="Calibri" w:eastAsia="Calibri" w:hAnsi="Calibri"/>
          <w:color w:val="233139"/>
          <w:sz w:val="21"/>
          <w:szCs w:val="21"/>
        </w:rPr>
        <w:t xml:space="preserve">„Man sieht es mir nicht an“ (39 Folien, PowerPoint) – mit Sprechernotizen und Animationsempfehlungen auf jeder Folie.</w:t>
      </w:r>
    </w:p>
    <w:p>
      <w:pPr>
        <w:pStyle w:val="ListParagraph"/>
        <w:numPr>
          <w:ilvl w:val="0"/>
          <w:numId w:val="1"/>
        </w:numPr>
        <w:spacing w:after="70" w:line="264"/>
      </w:pPr>
      <w:r>
        <w:rPr>
          <w:rFonts w:ascii="Calibri" w:cs="Calibri" w:eastAsia="Calibri" w:hAnsi="Calibri"/>
          <w:b/>
          <w:bCs/>
          <w:color w:val="233139"/>
          <w:sz w:val="21"/>
          <w:szCs w:val="21"/>
        </w:rPr>
        <w:t xml:space="preserve">Trainerhandbuch </w:t>
      </w:r>
      <w:r>
        <w:rPr>
          <w:rFonts w:ascii="Calibri" w:cs="Calibri" w:eastAsia="Calibri" w:hAnsi="Calibri"/>
          <w:color w:val="233139"/>
          <w:sz w:val="21"/>
          <w:szCs w:val="21"/>
        </w:rPr>
        <w:t xml:space="preserve">(dieses Dokument) – Ablauf, Sprechtexte, Übungen, Diskussions­fragen, Moderationshilfen.</w:t>
      </w:r>
    </w:p>
    <w:p>
      <w:pPr>
        <w:pStyle w:val="ListParagraph"/>
        <w:numPr>
          <w:ilvl w:val="0"/>
          <w:numId w:val="1"/>
        </w:numPr>
        <w:spacing w:after="70" w:line="264"/>
      </w:pPr>
      <w:r>
        <w:rPr>
          <w:rFonts w:ascii="Calibri" w:cs="Calibri" w:eastAsia="Calibri" w:hAnsi="Calibri"/>
          <w:b/>
          <w:bCs/>
          <w:color w:val="233139"/>
          <w:sz w:val="21"/>
          <w:szCs w:val="21"/>
        </w:rPr>
        <w:t xml:space="preserve">Arbeitsblätter &amp; Kopiervorlagen </w:t>
      </w:r>
      <w:r>
        <w:rPr>
          <w:rFonts w:ascii="Calibri" w:cs="Calibri" w:eastAsia="Calibri" w:hAnsi="Calibri"/>
          <w:color w:val="233139"/>
          <w:sz w:val="21"/>
          <w:szCs w:val="21"/>
        </w:rPr>
        <w:t xml:space="preserve">– Teilnehmer-Handout, Übungskarten, Fallbeispiele, Ampelbogen, Reflexionsbogen, Anlaufstellen.</w:t>
      </w:r>
    </w:p>
    <w:p>
      <w:pPr>
        <w:pStyle w:val="Heading2"/>
      </w:pPr>
      <w:r>
        <w:t xml:space="preserve">So nutzen Sie die Unterlage</w:t>
      </w:r>
    </w:p>
    <w:p>
      <w:pPr>
        <w:pStyle w:val="ListParagraph"/>
        <w:numPr>
          <w:ilvl w:val="0"/>
          <w:numId w:val="1"/>
        </w:numPr>
        <w:spacing w:after="70" w:line="264"/>
      </w:pPr>
      <w:r>
        <w:rPr>
          <w:rFonts w:ascii="Calibri" w:cs="Calibri" w:eastAsia="Calibri" w:hAnsi="Calibri"/>
          <w:color w:val="233139"/>
          <w:sz w:val="21"/>
          <w:szCs w:val="21"/>
        </w:rPr>
        <w:t xml:space="preserve">Lesen Sie das Handbuch einmal vollständig, bevor Sie den Workshop halten. Machen Sie sich die Metaphern (Rucksack, Rauchmelder, Eisberg …) zu eigen – sie sind das Herz des Konzepts.</w:t>
      </w:r>
    </w:p>
    <w:p>
      <w:pPr>
        <w:pStyle w:val="ListParagraph"/>
        <w:numPr>
          <w:ilvl w:val="0"/>
          <w:numId w:val="1"/>
        </w:numPr>
        <w:spacing w:after="70" w:line="264"/>
      </w:pPr>
      <w:r>
        <w:rPr>
          <w:rFonts w:ascii="Calibri" w:cs="Calibri" w:eastAsia="Calibri" w:hAnsi="Calibri"/>
          <w:color w:val="233139"/>
          <w:sz w:val="21"/>
          <w:szCs w:val="21"/>
        </w:rPr>
        <w:t xml:space="preserve">Passen Sie die persönlichen Stellen an: An mehreren Stellen sind bewusst Platzhalter für Ihre eigene Geschichte vorgesehen (siehe Kapitel 3).</w:t>
      </w:r>
    </w:p>
    <w:p>
      <w:pPr>
        <w:pStyle w:val="ListParagraph"/>
        <w:numPr>
          <w:ilvl w:val="0"/>
          <w:numId w:val="1"/>
        </w:numPr>
        <w:spacing w:after="70" w:line="264"/>
      </w:pPr>
      <w:r>
        <w:rPr>
          <w:rFonts w:ascii="Calibri" w:cs="Calibri" w:eastAsia="Calibri" w:hAnsi="Calibri"/>
          <w:color w:val="233139"/>
          <w:sz w:val="21"/>
          <w:szCs w:val="21"/>
        </w:rPr>
        <w:t xml:space="preserve">Ergänzen Sie die Anlaufstellen um regionale Angebote Ihres Bundeslandes.</w:t>
      </w:r>
    </w:p>
    <w:p>
      <w:pPr>
        <w:pStyle w:val="ListParagraph"/>
        <w:numPr>
          <w:ilvl w:val="0"/>
          <w:numId w:val="1"/>
        </w:numPr>
        <w:spacing w:after="70" w:line="264"/>
      </w:pPr>
      <w:r>
        <w:rPr>
          <w:rFonts w:ascii="Calibri" w:cs="Calibri" w:eastAsia="Calibri" w:hAnsi="Calibri"/>
          <w:color w:val="233139"/>
          <w:sz w:val="21"/>
          <w:szCs w:val="21"/>
        </w:rPr>
        <w:t xml:space="preserve">Prüfen Sie die genannten Zahlen vor jedem Einsatz auf Aktualität (siehe Kapitel 11).</w:t>
      </w:r>
    </w:p>
    <w:tbl>
      <w:tblPr>
        <w:tblW w:type="dxa" w:w="9360"/>
        <w:tblBorders>
          <w:top w:val="single" w:color="F6ECE0" w:sz="2"/>
          <w:left w:val="single" w:color="B9793B" w:sz="18"/>
          <w:bottom w:val="single" w:color="F6ECE0" w:sz="2"/>
          <w:right w:val="single" w:color="F6ECE0" w:sz="2"/>
          <w:insideH w:val="none"/>
          <w:insideV w:val="none"/>
        </w:tblBorders>
      </w:tblPr>
      <w:tblGrid>
        <w:gridCol w:w="9360"/>
      </w:tblGrid>
      <w:tr>
        <w:tc>
          <w:tcPr>
            <w:tcW w:type="dxa" w:w="9360"/>
            <w:shd w:fill="F6ECE0" w:color="auto" w:val="clear"/>
            <w:tcMar>
              <w:top w:type="dxa" w:w="140"/>
              <w:left w:type="dxa" w:w="200"/>
              <w:bottom w:type="dxa" w:w="140"/>
              <w:right w:type="dxa" w:w="200"/>
            </w:tcMar>
          </w:tcPr>
          <w:p>
            <w:pPr>
              <w:spacing w:after="60"/>
            </w:pPr>
            <w:r>
              <w:rPr>
                <w:rFonts w:ascii="Cambria" w:cs="Cambria" w:eastAsia="Cambria" w:hAnsi="Cambria"/>
                <w:b/>
                <w:bCs/>
                <w:color w:val="B9793B"/>
                <w:sz w:val="22"/>
                <w:szCs w:val="22"/>
              </w:rPr>
              <w:t xml:space="preserve">Nutzung &amp; Verantwortung</w:t>
            </w:r>
          </w:p>
          <w:p>
            <w:pPr>
              <w:spacing w:after="0" w:before="0" w:line="276"/>
            </w:pPr>
            <w:r>
              <w:rPr>
                <w:rFonts w:ascii="Calibri" w:cs="Calibri" w:eastAsia="Calibri" w:hAnsi="Calibri"/>
                <w:color w:val="233139"/>
                <w:sz w:val="21"/>
                <w:szCs w:val="21"/>
              </w:rPr>
              <w:t xml:space="preserve">Dieser Workshop ist Psychoedukation und Sensibilisierung – er ersetzt keine Diagnose, Beratung oder Therapie. Weisen Sie die Teilnehmenden darauf hin und halten Sie die Anlaufstellen (Kapitel 10) stets bereit. Als Referent geben Sie Orientierung und Erfahrung weiter, Sie übernehmen keine Behandlung.</w:t>
            </w:r>
          </w:p>
        </w:tc>
      </w:tr>
    </w:tbl>
    <w:p>
      <w:r>
        <w:br w:type="page"/>
      </w:r>
    </w:p>
    <w:p>
      <w:pPr>
        <w:pStyle w:val="Heading1"/>
      </w:pPr>
      <w:r>
        <w:t xml:space="preserve">2  Das didaktische Konzept – der rote Faden</w:t>
      </w:r>
    </w:p>
    <w:p>
      <w:pPr>
        <w:spacing w:after="120" w:before="0" w:line="276"/>
      </w:pPr>
      <w:r>
        <w:rPr>
          <w:rFonts w:ascii="Calibri" w:cs="Calibri" w:eastAsia="Calibri" w:hAnsi="Calibri"/>
          <w:color w:val="233139"/>
          <w:sz w:val="21"/>
          <w:szCs w:val="21"/>
        </w:rPr>
        <w:t xml:space="preserve">Ein einziger Gedanke zieht sich durch den gesamten Workshop: </w:t>
      </w:r>
      <w:r>
        <w:rPr>
          <w:rFonts w:ascii="Calibri" w:cs="Calibri" w:eastAsia="Calibri" w:hAnsi="Calibri"/>
          <w:b/>
          <w:bCs/>
          <w:color w:val="2E4A52"/>
          <w:sz w:val="21"/>
          <w:szCs w:val="21"/>
        </w:rPr>
        <w:t xml:space="preserve">Wir wollen nicht nur wissen, sondern verstehen – also fühlen.</w:t>
      </w:r>
      <w:r>
        <w:rPr>
          <w:rFonts w:ascii="Calibri" w:cs="Calibri" w:eastAsia="Calibri" w:hAnsi="Calibri"/>
          <w:color w:val="233139"/>
          <w:sz w:val="21"/>
          <w:szCs w:val="21"/>
        </w:rPr>
        <w:t xml:space="preserve"> Ein „normaler“, nicht betroffener Mensch soll begreifen, wie sich eine psychische Erkrankung von innen anfühlt.</w:t>
      </w:r>
    </w:p>
    <w:p>
      <w:pPr>
        <w:spacing w:after="120" w:before="0" w:line="276"/>
      </w:pPr>
      <w:r>
        <w:rPr>
          <w:rFonts w:ascii="Calibri" w:cs="Calibri" w:eastAsia="Calibri" w:hAnsi="Calibri"/>
          <w:color w:val="233139"/>
          <w:sz w:val="21"/>
          <w:szCs w:val="21"/>
        </w:rPr>
        <w:t xml:space="preserve">Damit das gelingt, arbeitet der Workshop auf drei Ebenen:</w:t>
      </w:r>
    </w:p>
    <w:p>
      <w:pPr>
        <w:pStyle w:val="ListParagraph"/>
        <w:numPr>
          <w:ilvl w:val="0"/>
          <w:numId w:val="1"/>
        </w:numPr>
        <w:spacing w:after="70" w:line="264"/>
      </w:pPr>
      <w:r>
        <w:rPr>
          <w:rFonts w:ascii="Calibri" w:cs="Calibri" w:eastAsia="Calibri" w:hAnsi="Calibri"/>
          <w:b/>
          <w:bCs/>
          <w:color w:val="233139"/>
          <w:sz w:val="21"/>
          <w:szCs w:val="21"/>
        </w:rPr>
        <w:t xml:space="preserve">Kopf: </w:t>
      </w:r>
      <w:r>
        <w:rPr>
          <w:rFonts w:ascii="Calibri" w:cs="Calibri" w:eastAsia="Calibri" w:hAnsi="Calibri"/>
          <w:color w:val="233139"/>
          <w:sz w:val="21"/>
          <w:szCs w:val="21"/>
        </w:rPr>
        <w:t xml:space="preserve">verständliches Wissen in Alltagssprache, ohne Fachjargon.</w:t>
      </w:r>
    </w:p>
    <w:p>
      <w:pPr>
        <w:pStyle w:val="ListParagraph"/>
        <w:numPr>
          <w:ilvl w:val="0"/>
          <w:numId w:val="1"/>
        </w:numPr>
        <w:spacing w:after="70" w:line="264"/>
      </w:pPr>
      <w:r>
        <w:rPr>
          <w:rFonts w:ascii="Calibri" w:cs="Calibri" w:eastAsia="Calibri" w:hAnsi="Calibri"/>
          <w:b/>
          <w:bCs/>
          <w:color w:val="233139"/>
          <w:sz w:val="21"/>
          <w:szCs w:val="21"/>
        </w:rPr>
        <w:t xml:space="preserve">Herz: </w:t>
      </w:r>
      <w:r>
        <w:rPr>
          <w:rFonts w:ascii="Calibri" w:cs="Calibri" w:eastAsia="Calibri" w:hAnsi="Calibri"/>
          <w:color w:val="233139"/>
          <w:sz w:val="21"/>
          <w:szCs w:val="21"/>
        </w:rPr>
        <w:t xml:space="preserve">einfache Vergleiche und Bilder, die Empathie auslösen (der emotionale Kern in Modul 3).</w:t>
      </w:r>
    </w:p>
    <w:p>
      <w:pPr>
        <w:pStyle w:val="ListParagraph"/>
        <w:numPr>
          <w:ilvl w:val="0"/>
          <w:numId w:val="1"/>
        </w:numPr>
        <w:spacing w:after="70" w:line="264"/>
      </w:pPr>
      <w:r>
        <w:rPr>
          <w:rFonts w:ascii="Calibri" w:cs="Calibri" w:eastAsia="Calibri" w:hAnsi="Calibri"/>
          <w:b/>
          <w:bCs/>
          <w:color w:val="233139"/>
          <w:sz w:val="21"/>
          <w:szCs w:val="21"/>
        </w:rPr>
        <w:t xml:space="preserve">Hand: </w:t>
      </w:r>
      <w:r>
        <w:rPr>
          <w:rFonts w:ascii="Calibri" w:cs="Calibri" w:eastAsia="Calibri" w:hAnsi="Calibri"/>
          <w:color w:val="233139"/>
          <w:sz w:val="21"/>
          <w:szCs w:val="21"/>
        </w:rPr>
        <w:t xml:space="preserve">konkrete Handlungswerkzeuge für den Umgang mit Betroffenen (Modul 4) und Übungen, die zum eigenen Erleben führen.</w:t>
      </w:r>
    </w:p>
    <w:p>
      <w:pPr>
        <w:pStyle w:val="Heading2"/>
      </w:pPr>
      <w:r>
        <w:t xml:space="preserve">Die sechs Stationen</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2600"/>
        <w:gridCol w:w="3000"/>
        <w:gridCol w:w="3760"/>
      </w:tblGrid>
      <w:tr>
        <w:trPr>
          <w:tblHeader/>
        </w:trPr>
        <w:tc>
          <w:tcPr>
            <w:tcW w:type="dxa" w:w="26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Station</w:t>
            </w:r>
          </w:p>
        </w:tc>
        <w:tc>
          <w:tcPr>
            <w:tcW w:type="dxa" w:w="30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Modul</w:t>
            </w:r>
          </w:p>
        </w:tc>
        <w:tc>
          <w:tcPr>
            <w:tcW w:type="dxa" w:w="376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Kernfrage</w:t>
            </w:r>
          </w:p>
        </w:tc>
      </w:tr>
      <w:tr>
        <w:tc>
          <w:tcPr>
            <w:tcW w:type="dxa" w:w="26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Ankommen</w:t>
            </w:r>
          </w:p>
        </w:tc>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1 – Begrüßung</w:t>
            </w:r>
          </w:p>
        </w:tc>
        <w:tc>
          <w:tcPr>
            <w:tcW w:type="dxa" w:w="37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Warum sind wir hier?</w:t>
            </w:r>
          </w:p>
        </w:tc>
      </w:tr>
      <w:tr>
        <w:tc>
          <w:tcPr>
            <w:tcW w:type="dxa" w:w="26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Verstehen</w:t>
            </w:r>
          </w:p>
        </w:tc>
        <w:tc>
          <w:tcPr>
            <w:tcW w:type="dxa" w:w="30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2 – Was ist das?</w:t>
            </w:r>
          </w:p>
        </w:tc>
        <w:tc>
          <w:tcPr>
            <w:tcW w:type="dxa" w:w="37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Was sind psychische Erkrankungen?</w:t>
            </w:r>
          </w:p>
        </w:tc>
      </w:tr>
      <w:tr>
        <w:tc>
          <w:tcPr>
            <w:tcW w:type="dxa" w:w="26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Fühlen</w:t>
            </w:r>
          </w:p>
        </w:tc>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3 – Herzstück</w:t>
            </w:r>
          </w:p>
        </w:tc>
        <w:tc>
          <w:tcPr>
            <w:tcW w:type="dxa" w:w="37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Wie fühlt sich das an?</w:t>
            </w:r>
          </w:p>
        </w:tc>
      </w:tr>
      <w:tr>
        <w:tc>
          <w:tcPr>
            <w:tcW w:type="dxa" w:w="26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Begleiten</w:t>
            </w:r>
          </w:p>
        </w:tc>
        <w:tc>
          <w:tcPr>
            <w:tcW w:type="dxa" w:w="30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4 – Umgang</w:t>
            </w:r>
          </w:p>
        </w:tc>
        <w:tc>
          <w:tcPr>
            <w:tcW w:type="dxa" w:w="37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Was hilft wirklich?</w:t>
            </w:r>
          </w:p>
        </w:tc>
      </w:tr>
      <w:tr>
        <w:tc>
          <w:tcPr>
            <w:tcW w:type="dxa" w:w="26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Aufklären</w:t>
            </w:r>
          </w:p>
        </w:tc>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5 – Mythen</w:t>
            </w:r>
          </w:p>
        </w:tc>
        <w:tc>
          <w:tcPr>
            <w:tcW w:type="dxa" w:w="37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Was stimmt, was nicht?</w:t>
            </w:r>
          </w:p>
        </w:tc>
      </w:tr>
      <w:tr>
        <w:tc>
          <w:tcPr>
            <w:tcW w:type="dxa" w:w="26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Hoffen</w:t>
            </w:r>
          </w:p>
        </w:tc>
        <w:tc>
          <w:tcPr>
            <w:tcW w:type="dxa" w:w="30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6 – Hilfe</w:t>
            </w:r>
          </w:p>
        </w:tc>
        <w:tc>
          <w:tcPr>
            <w:tcW w:type="dxa" w:w="37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Wie geht es wieder aufwärts?</w:t>
            </w:r>
          </w:p>
        </w:tc>
      </w:tr>
    </w:tbl>
    <w:p>
      <w:pPr>
        <w:spacing w:after="80"/>
      </w:pP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Ihre wichtigste Wirkung: die Metaphern</w:t>
            </w:r>
          </w:p>
          <w:p>
            <w:pPr>
              <w:spacing w:after="0" w:before="0" w:line="276"/>
            </w:pPr>
            <w:r>
              <w:rPr>
                <w:rFonts w:ascii="Calibri" w:cs="Calibri" w:eastAsia="Calibri" w:hAnsi="Calibri"/>
                <w:color w:val="233139"/>
                <w:sz w:val="21"/>
                <w:szCs w:val="21"/>
              </w:rPr>
              <w:t xml:space="preserve">Menschen erinnern keine Definitionen, sondern Bilder. Der ganze Workshop stellt deshalb zu jeder Erkrankung ein Bild bereit. Wenn ein Teilnehmer am Abend seinem Partner erzählt „Depression ist wie ein unsichtbarer Rucksack voller Steine“ – dann haben Sie Ihr Ziel erreicht.</w:t>
            </w:r>
          </w:p>
        </w:tc>
      </w:tr>
    </w:tbl>
    <w:p>
      <w:r>
        <w:br w:type="page"/>
      </w:r>
    </w:p>
    <w:p>
      <w:pPr>
        <w:pStyle w:val="Heading1"/>
      </w:pPr>
      <w:r>
        <w:t xml:space="preserve">3  Für Sie als Referent: eigene Geschichte &amp; Selbstfürsorge</w:t>
      </w:r>
    </w:p>
    <w:p>
      <w:pPr>
        <w:spacing w:after="120" w:before="0" w:line="276"/>
      </w:pPr>
      <w:r>
        <w:rPr>
          <w:rFonts w:ascii="Calibri" w:cs="Calibri" w:eastAsia="Calibri" w:hAnsi="Calibri"/>
          <w:color w:val="233139"/>
          <w:sz w:val="21"/>
          <w:szCs w:val="21"/>
        </w:rPr>
        <w:t xml:space="preserve">Ihre eigene Betroffenheit ist Ihre größte Stärke als Referent – sie macht den Workshop glaubwürdig und berührend. Damit sie Ihnen guttut und nicht schadet, hier einige bewährte Prinzipien.</w:t>
      </w:r>
    </w:p>
    <w:p>
      <w:pPr>
        <w:pStyle w:val="Heading2"/>
      </w:pPr>
      <w:r>
        <w:t xml:space="preserve">Sichere Selbstoffenbarung: aus der Narbe, nicht aus der offenen Wunde</w:t>
      </w:r>
    </w:p>
    <w:p>
      <w:pPr>
        <w:spacing w:after="120" w:before="0" w:line="276"/>
      </w:pPr>
      <w:r>
        <w:rPr>
          <w:rFonts w:ascii="Calibri" w:cs="Calibri" w:eastAsia="Calibri" w:hAnsi="Calibri"/>
          <w:color w:val="233139"/>
          <w:sz w:val="21"/>
          <w:szCs w:val="21"/>
        </w:rPr>
        <w:t xml:space="preserve">Teilen Sie nur, was Sie innerlich verarbeitet haben. </w:t>
      </w:r>
      <w:r>
        <w:rPr>
          <w:rFonts w:ascii="Calibri" w:cs="Calibri" w:eastAsia="Calibri" w:hAnsi="Calibri"/>
          <w:b/>
          <w:bCs/>
          <w:color w:val="2E4A52"/>
          <w:sz w:val="21"/>
          <w:szCs w:val="21"/>
        </w:rPr>
        <w:t xml:space="preserve">Sprechen Sie „aus der Narbe, nicht aus der offenen Wunde“</w:t>
      </w:r>
      <w:r>
        <w:rPr>
          <w:rFonts w:ascii="Calibri" w:cs="Calibri" w:eastAsia="Calibri" w:hAnsi="Calibri"/>
          <w:color w:val="233139"/>
          <w:sz w:val="21"/>
          <w:szCs w:val="21"/>
        </w:rPr>
        <w:t xml:space="preserve"> – über Erlebtes, das Sie heute mit Abstand betrachten können, nicht über etwas, das Sie im Erzählen gerade überflutet.</w:t>
      </w:r>
    </w:p>
    <w:p>
      <w:pPr>
        <w:pStyle w:val="ListParagraph"/>
        <w:numPr>
          <w:ilvl w:val="0"/>
          <w:numId w:val="1"/>
        </w:numPr>
        <w:spacing w:after="70" w:line="264"/>
      </w:pPr>
      <w:r>
        <w:rPr>
          <w:rFonts w:ascii="Calibri" w:cs="Calibri" w:eastAsia="Calibri" w:hAnsi="Calibri"/>
          <w:color w:val="233139"/>
          <w:sz w:val="21"/>
          <w:szCs w:val="21"/>
        </w:rPr>
        <w:t xml:space="preserve">Sie müssen keine Details des Unfalls schildern. Für die Teilnehmenden ist der Mechanismus wichtiger als der Hergang: Wie wurde aus dem Ereignis eine Depression und eine PTBS? Wie hat sich das im Alltag angefühlt? Was hat geholfen?</w:t>
      </w:r>
    </w:p>
    <w:p>
      <w:pPr>
        <w:pStyle w:val="ListParagraph"/>
        <w:numPr>
          <w:ilvl w:val="0"/>
          <w:numId w:val="1"/>
        </w:numPr>
        <w:spacing w:after="70" w:line="264"/>
      </w:pPr>
      <w:r>
        <w:rPr>
          <w:rFonts w:ascii="Calibri" w:cs="Calibri" w:eastAsia="Calibri" w:hAnsi="Calibri"/>
          <w:color w:val="233139"/>
          <w:sz w:val="21"/>
          <w:szCs w:val="21"/>
        </w:rPr>
        <w:t xml:space="preserve">Entscheiden Sie vorab, welche zwei, drei Episoden Sie erzählen – und wo Ihre Grenze liegt. Ein klarer Plan schützt Sie im Moment.</w:t>
      </w:r>
    </w:p>
    <w:p>
      <w:pPr>
        <w:pStyle w:val="ListParagraph"/>
        <w:numPr>
          <w:ilvl w:val="0"/>
          <w:numId w:val="1"/>
        </w:numPr>
        <w:spacing w:after="70" w:line="264"/>
      </w:pPr>
      <w:r>
        <w:rPr>
          <w:rFonts w:ascii="Calibri" w:cs="Calibri" w:eastAsia="Calibri" w:hAnsi="Calibri"/>
          <w:color w:val="233139"/>
          <w:sz w:val="21"/>
          <w:szCs w:val="21"/>
        </w:rPr>
        <w:t xml:space="preserve">Es ist völlig in Ordnung, emotional zu werden. Kurz innehalten, atmen, weitersprechen – das ist authentisch, nicht unprofessionell. Es zeigt den Teilnehmenden mehr als jede Folie.</w:t>
      </w:r>
    </w:p>
    <w:p>
      <w:pPr>
        <w:pStyle w:val="ListParagraph"/>
        <w:numPr>
          <w:ilvl w:val="0"/>
          <w:numId w:val="1"/>
        </w:numPr>
        <w:spacing w:after="70" w:line="264"/>
      </w:pPr>
      <w:r>
        <w:rPr>
          <w:rFonts w:ascii="Calibri" w:cs="Calibri" w:eastAsia="Calibri" w:hAnsi="Calibri"/>
          <w:color w:val="233139"/>
          <w:sz w:val="21"/>
          <w:szCs w:val="21"/>
        </w:rPr>
        <w:t xml:space="preserve">Sie dürfen jederzeit sagen: „Darüber möchte ich heute nicht sprechen.“ Das ist ein starkes Vorbild für die Grenzen, die Sie den Teilnehmenden zugestehen.</w:t>
      </w:r>
    </w:p>
    <w:p>
      <w:pPr>
        <w:pStyle w:val="Heading2"/>
      </w:pPr>
      <w:r>
        <w:t xml:space="preserve">Wo Ihre Geschichte im Ablauf verankert ist</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100"/>
        <w:gridCol w:w="2000"/>
        <w:gridCol w:w="6260"/>
      </w:tblGrid>
      <w:tr>
        <w:trPr>
          <w:tblHeader/>
        </w:trPr>
        <w:tc>
          <w:tcPr>
            <w:tcW w:type="dxa" w:w="11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Folie</w:t>
            </w:r>
          </w:p>
        </w:tc>
        <w:tc>
          <w:tcPr>
            <w:tcW w:type="dxa" w:w="20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Moment</w:t>
            </w:r>
          </w:p>
        </w:tc>
        <w:tc>
          <w:tcPr>
            <w:tcW w:type="dxa" w:w="626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Was Sie einbringen</w:t>
            </w:r>
          </w:p>
        </w:tc>
      </w:tr>
      <w:tr>
        <w:tc>
          <w:tcPr>
            <w:tcW w:type="dxa" w:w="11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2</w:t>
            </w:r>
          </w:p>
        </w:tc>
        <w:tc>
          <w:tcPr>
            <w:tcW w:type="dxa" w:w="2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Über mich</w:t>
            </w:r>
          </w:p>
        </w:tc>
        <w:tc>
          <w:tcPr>
            <w:tcW w:type="dxa" w:w="62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Kurz: wer Sie sind, warum dieses Thema Ihres ist (Unfall → Depression/PTBS → Weg zurück).</w:t>
            </w:r>
          </w:p>
        </w:tc>
      </w:tr>
      <w:tr>
        <w:tc>
          <w:tcPr>
            <w:tcW w:type="dxa" w:w="11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14</w:t>
            </w:r>
          </w:p>
        </w:tc>
        <w:tc>
          <w:tcPr>
            <w:tcW w:type="dxa" w:w="20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PTBS</w:t>
            </w:r>
          </w:p>
        </w:tc>
        <w:tc>
          <w:tcPr>
            <w:tcW w:type="dxa" w:w="62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Ein konkreter Trigger-Moment, der den Mechanismus zeigt (z. B. ein Geräusch, das Sie zurückwarf).</w:t>
            </w:r>
          </w:p>
        </w:tc>
      </w:tr>
      <w:tr>
        <w:tc>
          <w:tcPr>
            <w:tcW w:type="dxa" w:w="11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23</w:t>
            </w:r>
          </w:p>
        </w:tc>
        <w:tc>
          <w:tcPr>
            <w:tcW w:type="dxa" w:w="2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Alltag</w:t>
            </w:r>
          </w:p>
        </w:tc>
        <w:tc>
          <w:tcPr>
            <w:tcW w:type="dxa" w:w="62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Ein Beispiel, wie sich die Erkrankung im Alltag zeigte (z. B. eine Absage in letzter Minute).</w:t>
            </w:r>
          </w:p>
        </w:tc>
      </w:tr>
      <w:tr>
        <w:tc>
          <w:tcPr>
            <w:tcW w:type="dxa" w:w="11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36</w:t>
            </w:r>
          </w:p>
        </w:tc>
        <w:tc>
          <w:tcPr>
            <w:tcW w:type="dxa" w:w="20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Hoffnung</w:t>
            </w:r>
          </w:p>
        </w:tc>
        <w:tc>
          <w:tcPr>
            <w:tcW w:type="dxa" w:w="62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Was Ihnen geholfen hat, wieder herauszufinden – Ihr stärkster Beweis für Hoffnung.</w:t>
            </w:r>
          </w:p>
        </w:tc>
      </w:tr>
    </w:tbl>
    <w:p>
      <w:pPr>
        <w:spacing w:after="80"/>
      </w:pPr>
    </w:p>
    <w:tbl>
      <w:tblPr>
        <w:tblW w:type="dxa" w:w="9360"/>
        <w:tblBorders>
          <w:top w:val="single" w:color="F6ECE0" w:sz="2"/>
          <w:left w:val="single" w:color="B9793B" w:sz="18"/>
          <w:bottom w:val="single" w:color="F6ECE0" w:sz="2"/>
          <w:right w:val="single" w:color="F6ECE0" w:sz="2"/>
          <w:insideH w:val="none"/>
          <w:insideV w:val="none"/>
        </w:tblBorders>
      </w:tblPr>
      <w:tblGrid>
        <w:gridCol w:w="9360"/>
      </w:tblGrid>
      <w:tr>
        <w:tc>
          <w:tcPr>
            <w:tcW w:type="dxa" w:w="9360"/>
            <w:shd w:fill="F6ECE0" w:color="auto" w:val="clear"/>
            <w:tcMar>
              <w:top w:type="dxa" w:w="140"/>
              <w:left w:type="dxa" w:w="200"/>
              <w:bottom w:type="dxa" w:w="140"/>
              <w:right w:type="dxa" w:w="200"/>
            </w:tcMar>
          </w:tcPr>
          <w:p>
            <w:pPr>
              <w:spacing w:after="60"/>
            </w:pPr>
            <w:r>
              <w:rPr>
                <w:rFonts w:ascii="Cambria" w:cs="Cambria" w:eastAsia="Cambria" w:hAnsi="Cambria"/>
                <w:b/>
                <w:bCs/>
                <w:color w:val="B9793B"/>
                <w:sz w:val="22"/>
                <w:szCs w:val="22"/>
              </w:rPr>
              <w:t xml:space="preserve">Selbstfürsorge am Workshop-Tag</w:t>
            </w:r>
          </w:p>
          <w:p>
            <w:pPr>
              <w:pStyle w:val="ListParagraph"/>
              <w:numPr>
                <w:ilvl w:val="0"/>
                <w:numId w:val="1"/>
              </w:numPr>
              <w:spacing w:after="40" w:line="264"/>
            </w:pPr>
            <w:r>
              <w:rPr>
                <w:rFonts w:ascii="Calibri" w:cs="Calibri" w:eastAsia="Calibri" w:hAnsi="Calibri"/>
                <w:color w:val="233139"/>
                <w:sz w:val="21"/>
                <w:szCs w:val="21"/>
              </w:rPr>
              <w:t xml:space="preserve">Planen Sie vor und nach dem Workshop ruhige Zeit ein – kein enges Terminfenster.</w:t>
            </w:r>
          </w:p>
          <w:p>
            <w:pPr>
              <w:pStyle w:val="ListParagraph"/>
              <w:numPr>
                <w:ilvl w:val="0"/>
                <w:numId w:val="1"/>
              </w:numPr>
              <w:spacing w:after="40" w:line="264"/>
            </w:pPr>
            <w:r>
              <w:rPr>
                <w:rFonts w:ascii="Calibri" w:cs="Calibri" w:eastAsia="Calibri" w:hAnsi="Calibri"/>
                <w:color w:val="233139"/>
                <w:sz w:val="21"/>
                <w:szCs w:val="21"/>
              </w:rPr>
              <w:t xml:space="preserve">Halten Sie Wasser bereit und gönnen Sie sich die Pause wirklich.</w:t>
            </w:r>
          </w:p>
          <w:p>
            <w:pPr>
              <w:pStyle w:val="ListParagraph"/>
              <w:numPr>
                <w:ilvl w:val="0"/>
                <w:numId w:val="1"/>
              </w:numPr>
              <w:spacing w:after="40" w:line="264"/>
            </w:pPr>
            <w:r>
              <w:rPr>
                <w:rFonts w:ascii="Calibri" w:cs="Calibri" w:eastAsia="Calibri" w:hAnsi="Calibri"/>
                <w:color w:val="233139"/>
                <w:sz w:val="21"/>
                <w:szCs w:val="21"/>
              </w:rPr>
              <w:t xml:space="preserve">Haben Sie eine Vertrauensperson, die Sie nach dem Tag anrufen können, falls etwas nachklingt.</w:t>
            </w:r>
          </w:p>
          <w:p>
            <w:pPr>
              <w:pStyle w:val="ListParagraph"/>
              <w:numPr>
                <w:ilvl w:val="0"/>
                <w:numId w:val="1"/>
              </w:numPr>
              <w:spacing w:after="0" w:line="264"/>
            </w:pPr>
            <w:r>
              <w:rPr>
                <w:rFonts w:ascii="Calibri" w:cs="Calibri" w:eastAsia="Calibri" w:hAnsi="Calibri"/>
                <w:color w:val="233139"/>
                <w:sz w:val="21"/>
                <w:szCs w:val="21"/>
              </w:rPr>
              <w:t xml:space="preserve">Wenn ein Thema Sie selbst stärker trifft, als erwartet: Das ist ein Signal, keine Schwäche. Nehmen Sie Ihre eigenen Anlaufstellen ernst.</w:t>
            </w:r>
          </w:p>
        </w:tc>
      </w:tr>
    </w:tbl>
    <w:p>
      <w:r>
        <w:br w:type="page"/>
      </w:r>
    </w:p>
    <w:p>
      <w:pPr>
        <w:pStyle w:val="Heading1"/>
      </w:pPr>
      <w:r>
        <w:t xml:space="preserve">4  Rahmenbedingungen</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2200"/>
        <w:gridCol w:w="7160"/>
      </w:tblGrid>
      <w:tr>
        <w:trPr>
          <w:tblHeader/>
        </w:trPr>
        <w:tc>
          <w:tcPr>
            <w:tcW w:type="dxa" w:w="22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Aspekt</w:t>
            </w:r>
          </w:p>
        </w:tc>
        <w:tc>
          <w:tcPr>
            <w:tcW w:type="dxa" w:w="716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Empfehlung</w:t>
            </w:r>
          </w:p>
        </w:tc>
      </w:tr>
      <w:tr>
        <w:tc>
          <w:tcPr>
            <w:tcW w:type="dxa" w:w="22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Zielgruppe</w:t>
            </w:r>
          </w:p>
        </w:tc>
        <w:tc>
          <w:tcPr>
            <w:tcW w:type="dxa" w:w="71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Erwachsene ohne Vorwissen: Belegschaften, Führungskräfte, Vereine, Ehrenamtliche, interessierte Öffentlichkeit.</w:t>
            </w:r>
          </w:p>
        </w:tc>
      </w:tr>
      <w:tr>
        <w:tc>
          <w:tcPr>
            <w:tcW w:type="dxa" w:w="22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Gruppengröße</w:t>
            </w:r>
          </w:p>
        </w:tc>
        <w:tc>
          <w:tcPr>
            <w:tcW w:type="dxa" w:w="71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8–20 Personen ideal (Übungen). Bis ~40 als Vortrag mit reduzierten Übungen möglich.</w:t>
            </w:r>
          </w:p>
        </w:tc>
      </w:tr>
      <w:tr>
        <w:tc>
          <w:tcPr>
            <w:tcW w:type="dxa" w:w="22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Dauer</w:t>
            </w:r>
          </w:p>
        </w:tc>
        <w:tc>
          <w:tcPr>
            <w:tcW w:type="dxa" w:w="71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ca. 4 Stunden inkl. 15 Min. Pause. Kurzformat (2 Std.): Module 1–4 + Abschluss.</w:t>
            </w:r>
          </w:p>
        </w:tc>
      </w:tr>
      <w:tr>
        <w:tc>
          <w:tcPr>
            <w:tcW w:type="dxa" w:w="22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Raum</w:t>
            </w:r>
          </w:p>
        </w:tc>
        <w:tc>
          <w:tcPr>
            <w:tcW w:type="dxa" w:w="71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Stuhlkreis oder Inseln von 3–4 Personen; Beamer/Leinwand; Flipchart/Pinnwand; ausreichend Platz für Kleingruppen.</w:t>
            </w:r>
          </w:p>
        </w:tc>
      </w:tr>
      <w:tr>
        <w:tc>
          <w:tcPr>
            <w:tcW w:type="dxa" w:w="22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Stimmung</w:t>
            </w:r>
          </w:p>
        </w:tc>
        <w:tc>
          <w:tcPr>
            <w:tcW w:type="dxa" w:w="71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Ruhig, warm, sicher. Gedämpftes Licht, evtl. leise Musik in Übungsphasen. Handys leise.</w:t>
            </w:r>
          </w:p>
        </w:tc>
      </w:tr>
    </w:tbl>
    <w:p>
      <w:pPr>
        <w:pStyle w:val="Heading2"/>
      </w:pPr>
      <w:r>
        <w:t xml:space="preserve">Material-Checkliste</w:t>
      </w:r>
    </w:p>
    <w:p>
      <w:pPr>
        <w:pStyle w:val="ListParagraph"/>
        <w:numPr>
          <w:ilvl w:val="0"/>
          <w:numId w:val="1"/>
        </w:numPr>
        <w:spacing w:after="70" w:line="264"/>
      </w:pPr>
      <w:r>
        <w:rPr>
          <w:rFonts w:ascii="Calibri" w:cs="Calibri" w:eastAsia="Calibri" w:hAnsi="Calibri"/>
          <w:color w:val="233139"/>
          <w:sz w:val="21"/>
          <w:szCs w:val="21"/>
        </w:rPr>
        <w:t xml:space="preserve">Beamer, Laptop, Foliensatz getestet (Sprechernotizen-Ansicht aktiviert)</w:t>
      </w:r>
    </w:p>
    <w:p>
      <w:pPr>
        <w:pStyle w:val="ListParagraph"/>
        <w:numPr>
          <w:ilvl w:val="0"/>
          <w:numId w:val="1"/>
        </w:numPr>
        <w:spacing w:after="70" w:line="264"/>
      </w:pPr>
      <w:r>
        <w:rPr>
          <w:rFonts w:ascii="Calibri" w:cs="Calibri" w:eastAsia="Calibri" w:hAnsi="Calibri"/>
          <w:color w:val="233139"/>
          <w:sz w:val="21"/>
          <w:szCs w:val="21"/>
        </w:rPr>
        <w:t xml:space="preserve">Flipchart / Pinnwand + Marker + Moderationskarten (für Erwartungen &amp; Mythen)</w:t>
      </w:r>
    </w:p>
    <w:p>
      <w:pPr>
        <w:pStyle w:val="ListParagraph"/>
        <w:numPr>
          <w:ilvl w:val="0"/>
          <w:numId w:val="1"/>
        </w:numPr>
        <w:spacing w:after="70" w:line="264"/>
      </w:pPr>
      <w:r>
        <w:rPr>
          <w:rFonts w:ascii="Calibri" w:cs="Calibri" w:eastAsia="Calibri" w:hAnsi="Calibri"/>
          <w:color w:val="233139"/>
          <w:sz w:val="21"/>
          <w:szCs w:val="21"/>
        </w:rPr>
        <w:t xml:space="preserve">Ausgedruckte Kopiervorlagen (Arbeitsblätter) in ausreichender Zahl:</w:t>
      </w:r>
    </w:p>
    <w:p>
      <w:pPr>
        <w:pStyle w:val="ListParagraph"/>
        <w:numPr>
          <w:ilvl w:val="1"/>
          <w:numId w:val="1"/>
        </w:numPr>
        <w:spacing w:after="70" w:line="264"/>
      </w:pPr>
      <w:r>
        <w:rPr>
          <w:rFonts w:ascii="Calibri" w:cs="Calibri" w:eastAsia="Calibri" w:hAnsi="Calibri"/>
          <w:color w:val="233139"/>
          <w:sz w:val="21"/>
          <w:szCs w:val="21"/>
        </w:rPr>
        <w:t xml:space="preserve">„Ein Tag mit Depression“ · Situationskarten Rollenspiel · Beobachtungsbogen · Fallbeispiele · Ampelbogen · Reflexionsbogen · Anlaufstellen-Handout</w:t>
      </w:r>
    </w:p>
    <w:p>
      <w:pPr>
        <w:pStyle w:val="ListParagraph"/>
        <w:numPr>
          <w:ilvl w:val="0"/>
          <w:numId w:val="1"/>
        </w:numPr>
        <w:spacing w:after="70" w:line="264"/>
      </w:pPr>
      <w:r>
        <w:rPr>
          <w:rFonts w:ascii="Calibri" w:cs="Calibri" w:eastAsia="Calibri" w:hAnsi="Calibri"/>
          <w:color w:val="233139"/>
          <w:sz w:val="21"/>
          <w:szCs w:val="21"/>
        </w:rPr>
        <w:t xml:space="preserve">Stifte für alle Teilnehmenden</w:t>
      </w:r>
    </w:p>
    <w:p>
      <w:pPr>
        <w:pStyle w:val="ListParagraph"/>
        <w:numPr>
          <w:ilvl w:val="0"/>
          <w:numId w:val="1"/>
        </w:numPr>
        <w:spacing w:after="70" w:line="264"/>
      </w:pPr>
      <w:r>
        <w:rPr>
          <w:rFonts w:ascii="Calibri" w:cs="Calibri" w:eastAsia="Calibri" w:hAnsi="Calibri"/>
          <w:color w:val="233139"/>
          <w:sz w:val="21"/>
          <w:szCs w:val="21"/>
        </w:rPr>
        <w:t xml:space="preserve">Taschentücher (unaufdringlich bereitstellen)</w:t>
      </w:r>
    </w:p>
    <w:p>
      <w:pPr>
        <w:pStyle w:val="ListParagraph"/>
        <w:numPr>
          <w:ilvl w:val="0"/>
          <w:numId w:val="1"/>
        </w:numPr>
        <w:spacing w:after="70" w:line="264"/>
      </w:pPr>
      <w:r>
        <w:rPr>
          <w:rFonts w:ascii="Calibri" w:cs="Calibri" w:eastAsia="Calibri" w:hAnsi="Calibri"/>
          <w:color w:val="233139"/>
          <w:sz w:val="21"/>
          <w:szCs w:val="21"/>
        </w:rPr>
        <w:t xml:space="preserve">Anlaufstellen sichtbar aushängen (Notrufnummern)</w:t>
      </w:r>
    </w:p>
    <w:p>
      <w:pPr>
        <w:pStyle w:val="ListParagraph"/>
        <w:numPr>
          <w:ilvl w:val="0"/>
          <w:numId w:val="1"/>
        </w:numPr>
        <w:spacing w:after="70" w:line="264"/>
      </w:pPr>
      <w:r>
        <w:rPr>
          <w:rFonts w:ascii="Calibri" w:cs="Calibri" w:eastAsia="Calibri" w:hAnsi="Calibri"/>
          <w:color w:val="233139"/>
          <w:sz w:val="21"/>
          <w:szCs w:val="21"/>
        </w:rPr>
        <w:t xml:space="preserve">Wasser für Referent und Gruppe</w:t>
      </w:r>
    </w:p>
    <w:p>
      <w:r>
        <w:br w:type="page"/>
      </w:r>
    </w:p>
    <w:p>
      <w:pPr>
        <w:pStyle w:val="Heading1"/>
      </w:pPr>
      <w:r>
        <w:t xml:space="preserve">5  Ablauf auf einen Blick</w:t>
      </w:r>
    </w:p>
    <w:p>
      <w:pPr>
        <w:spacing w:after="120" w:before="0" w:line="276"/>
      </w:pPr>
      <w:r>
        <w:rPr>
          <w:rFonts w:ascii="Calibri" w:cs="Calibri" w:eastAsia="Calibri" w:hAnsi="Calibri"/>
          <w:color w:val="233139"/>
          <w:sz w:val="21"/>
          <w:szCs w:val="21"/>
        </w:rPr>
        <w:t xml:space="preserve">Richtwerte für ~4 Stunden. Zeiten flexibel an Gruppengröße und Gesprächsbedarf anpassen.</w:t>
      </w:r>
    </w:p>
    <w:tbl>
      <w:tblPr>
        <w:tblW w:type="dxa" w:w="8560"/>
        <w:tblBorders>
          <w:top w:val="single" w:color="DCE6E3" w:sz="2"/>
          <w:left w:val="single" w:color="DCE6E3" w:sz="2"/>
          <w:bottom w:val="single" w:color="DCE6E3" w:sz="2"/>
          <w:right w:val="single" w:color="DCE6E3" w:sz="2"/>
          <w:insideH w:val="single" w:color="DCE6E3" w:sz="2"/>
          <w:insideV w:val="single" w:color="DCE6E3" w:sz="2"/>
        </w:tblBorders>
      </w:tblPr>
      <w:tblGrid>
        <w:gridCol w:w="900"/>
        <w:gridCol w:w="2600"/>
        <w:gridCol w:w="4160"/>
        <w:gridCol w:w="900"/>
      </w:tblGrid>
      <w:tr>
        <w:trPr>
          <w:tblHeader/>
        </w:trPr>
        <w:tc>
          <w:tcPr>
            <w:tcW w:type="dxa" w:w="9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Zeit</w:t>
            </w:r>
          </w:p>
        </w:tc>
        <w:tc>
          <w:tcPr>
            <w:tcW w:type="dxa" w:w="26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Modul</w:t>
            </w:r>
          </w:p>
        </w:tc>
        <w:tc>
          <w:tcPr>
            <w:tcW w:type="dxa" w:w="416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Inhalt</w:t>
            </w:r>
          </w:p>
        </w:tc>
        <w:tc>
          <w:tcPr>
            <w:tcW w:type="dxa" w:w="9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Folien</w:t>
            </w:r>
          </w:p>
        </w:tc>
      </w:tr>
      <w:tr>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0:00</w:t>
            </w:r>
          </w:p>
        </w:tc>
        <w:tc>
          <w:tcPr>
            <w:tcW w:type="dxa" w:w="26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1 · Begrüßung &amp; Einstieg (15')</w:t>
            </w:r>
          </w:p>
        </w:tc>
        <w:tc>
          <w:tcPr>
            <w:tcW w:type="dxa" w:w="41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Vorstellung, Warum, Erwartungen, Gruppenvereinbarung</w:t>
            </w:r>
          </w:p>
        </w:tc>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1–7</w:t>
            </w:r>
          </w:p>
        </w:tc>
      </w:tr>
      <w:tr>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0:15</w:t>
            </w:r>
          </w:p>
        </w:tc>
        <w:tc>
          <w:tcPr>
            <w:tcW w:type="dxa" w:w="26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2 · Was sind psychische Erkrankungen? (30')</w:t>
            </w:r>
          </w:p>
        </w:tc>
        <w:tc>
          <w:tcPr>
            <w:tcW w:type="dxa" w:w="41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Häufigkeit, Stress–Krise–Erkrankung, 5 Erkrankungen</w:t>
            </w:r>
          </w:p>
        </w:tc>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8–15</w:t>
            </w:r>
          </w:p>
        </w:tc>
      </w:tr>
      <w:tr>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0:45</w:t>
            </w:r>
          </w:p>
        </w:tc>
        <w:tc>
          <w:tcPr>
            <w:tcW w:type="dxa" w:w="26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3 · Wie fühlt sich das an? (45')</w:t>
            </w:r>
          </w:p>
        </w:tc>
        <w:tc>
          <w:tcPr>
            <w:tcW w:type="dxa" w:w="41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Metaphern, Masking, „positiv denken“, Übung Perspektivwechsel</w:t>
            </w:r>
          </w:p>
        </w:tc>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16–24</w:t>
            </w:r>
          </w:p>
        </w:tc>
      </w:tr>
      <w:tr>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1:30</w:t>
            </w:r>
          </w:p>
        </w:tc>
        <w:tc>
          <w:tcPr>
            <w:tcW w:type="dxa" w:w="26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Pause (15')</w:t>
            </w:r>
          </w:p>
        </w:tc>
        <w:tc>
          <w:tcPr>
            <w:tcW w:type="dxa" w:w="41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Durchatmen</w:t>
            </w:r>
          </w:p>
        </w:tc>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25</w:t>
            </w:r>
          </w:p>
        </w:tc>
      </w:tr>
      <w:tr>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1:45</w:t>
            </w:r>
          </w:p>
        </w:tc>
        <w:tc>
          <w:tcPr>
            <w:tcW w:type="dxa" w:w="26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4 · Umgang mit Betroffenen (45')</w:t>
            </w:r>
          </w:p>
        </w:tc>
        <w:tc>
          <w:tcPr>
            <w:tcW w:type="dxa" w:w="41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Do’s &amp; Don’ts, Sprache, aktives Zuhören, Grenzen, Rollenspiel</w:t>
            </w:r>
          </w:p>
        </w:tc>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26–32</w:t>
            </w:r>
          </w:p>
        </w:tc>
      </w:tr>
      <w:tr>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2:30</w:t>
            </w:r>
          </w:p>
        </w:tc>
        <w:tc>
          <w:tcPr>
            <w:tcW w:type="dxa" w:w="26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5 · Mythen &amp; Fakten (20')</w:t>
            </w:r>
          </w:p>
        </w:tc>
        <w:tc>
          <w:tcPr>
            <w:tcW w:type="dxa" w:w="41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Mythos oder Wahrheit? – Diskussion</w:t>
            </w:r>
          </w:p>
        </w:tc>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33–34</w:t>
            </w:r>
          </w:p>
        </w:tc>
      </w:tr>
      <w:tr>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2:50</w:t>
            </w:r>
          </w:p>
        </w:tc>
        <w:tc>
          <w:tcPr>
            <w:tcW w:type="dxa" w:w="26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6 · Hilfe &amp; Hoffnung (20')</w:t>
            </w:r>
          </w:p>
        </w:tc>
        <w:tc>
          <w:tcPr>
            <w:tcW w:type="dxa" w:w="41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Behandlungswege, persönliche Hoffnungsbotschaft</w:t>
            </w:r>
          </w:p>
        </w:tc>
        <w:tc>
          <w:tcPr>
            <w:tcW w:type="dxa" w:w="9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35–36</w:t>
            </w:r>
          </w:p>
        </w:tc>
      </w:tr>
      <w:tr>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3:10</w:t>
            </w:r>
          </w:p>
        </w:tc>
        <w:tc>
          <w:tcPr>
            <w:tcW w:type="dxa" w:w="26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Abschluss (10'+)</w:t>
            </w:r>
          </w:p>
        </w:tc>
        <w:tc>
          <w:tcPr>
            <w:tcW w:type="dxa" w:w="41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Erkenntnisse, Fragerunde, Anlaufstellen, Reflexionsbogen</w:t>
            </w:r>
          </w:p>
        </w:tc>
        <w:tc>
          <w:tcPr>
            <w:tcW w:type="dxa" w:w="9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37–39</w:t>
            </w:r>
          </w:p>
        </w:tc>
      </w:tr>
    </w:tbl>
    <w:p>
      <w:pPr>
        <w:spacing w:after="80"/>
      </w:pPr>
    </w:p>
    <w:p>
      <w:pPr>
        <w:spacing w:after="120" w:before="0" w:line="276"/>
      </w:pPr>
      <w:r>
        <w:rPr>
          <w:rFonts w:ascii="Calibri" w:cs="Calibri" w:eastAsia="Calibri" w:hAnsi="Calibri"/>
          <w:b/>
          <w:bCs/>
          <w:color w:val="2E4A52"/>
          <w:sz w:val="21"/>
          <w:szCs w:val="21"/>
        </w:rPr>
        <w:t xml:space="preserve">Optionale Zusatzübungen </w:t>
      </w:r>
      <w:r>
        <w:rPr>
          <w:rFonts w:ascii="Calibri" w:cs="Calibri" w:eastAsia="Calibri" w:hAnsi="Calibri"/>
          <w:color w:val="233139"/>
          <w:sz w:val="21"/>
          <w:szCs w:val="21"/>
        </w:rPr>
        <w:t xml:space="preserve">(bei längerem Format oder als Ersatz): Fallbeispiele in Kleingruppen (Modul 4), Körpersprache erkennen (Modul 3), Ampelübung (Abschluss). Alle Materialien liegen bei.</w:t>
      </w:r>
    </w:p>
    <w:p>
      <w:r>
        <w:br w:type="page"/>
      </w:r>
    </w:p>
    <w:p>
      <w:pPr>
        <w:pStyle w:val="Heading1"/>
      </w:pPr>
      <w:r>
        <w:t xml:space="preserve">6  Der Workshop Schritt für Schritt</w:t>
      </w:r>
    </w:p>
    <w:p>
      <w:pPr>
        <w:spacing w:after="120" w:before="0" w:line="276"/>
      </w:pPr>
      <w:r>
        <w:rPr>
          <w:rFonts w:ascii="Calibri" w:cs="Calibri" w:eastAsia="Calibri" w:hAnsi="Calibri"/>
          <w:color w:val="233139"/>
          <w:sz w:val="21"/>
          <w:szCs w:val="21"/>
        </w:rPr>
        <w:t xml:space="preserve">Zu jedem Modul finden Sie: Ziel, Dauer, Folienbezug, Ablauf mit Formulierungsvorschlägen (kursiv) und den Übergang zum nächsten Teil. Die kursiven Sätze sind Angebote – sprechen Sie in Ihren eigenen Worten.</w:t>
      </w:r>
    </w:p>
    <w:p>
      <w:pPr>
        <w:pStyle w:val="Heading2"/>
      </w:pPr>
      <w:r>
        <w:t xml:space="preserve">Modul 1 · Begrüßung &amp; Einstieg — 15 Min. (Folien 1–7)</w:t>
      </w:r>
    </w:p>
    <w:p>
      <w:pPr>
        <w:spacing w:after="120" w:before="0" w:line="276"/>
      </w:pPr>
      <w:r>
        <w:rPr>
          <w:rFonts w:ascii="Calibri" w:cs="Calibri" w:eastAsia="Calibri" w:hAnsi="Calibri"/>
          <w:b/>
          <w:bCs/>
          <w:color w:val="233139"/>
          <w:sz w:val="21"/>
          <w:szCs w:val="21"/>
        </w:rPr>
        <w:t xml:space="preserve">Ziel: </w:t>
      </w:r>
      <w:r>
        <w:rPr>
          <w:rFonts w:ascii="Calibri" w:cs="Calibri" w:eastAsia="Calibri" w:hAnsi="Calibri"/>
          <w:color w:val="233139"/>
          <w:sz w:val="21"/>
          <w:szCs w:val="21"/>
        </w:rPr>
        <w:t xml:space="preserve">Ankommen, Sicherheit und Vertrauen schaffen, Relevanz herstellen, Erwartungen abholen.</w:t>
      </w:r>
    </w:p>
    <w:p>
      <w:pPr>
        <w:pStyle w:val="Heading3"/>
      </w:pPr>
      <w:r>
        <w:t xml:space="preserve">Ablauf</w:t>
      </w:r>
    </w:p>
    <w:p>
      <w:pPr>
        <w:pStyle w:val="ListParagraph"/>
        <w:numPr>
          <w:ilvl w:val="0"/>
          <w:numId w:val="1"/>
        </w:numPr>
        <w:spacing w:after="70" w:line="264"/>
      </w:pPr>
      <w:r>
        <w:rPr>
          <w:rFonts w:ascii="Calibri" w:cs="Calibri" w:eastAsia="Calibri" w:hAnsi="Calibri"/>
          <w:b/>
          <w:bCs/>
          <w:color w:val="233139"/>
          <w:sz w:val="21"/>
          <w:szCs w:val="21"/>
        </w:rPr>
        <w:t xml:space="preserve">Begrüßung (Folie 1): </w:t>
      </w:r>
      <w:r>
        <w:rPr>
          <w:rFonts w:ascii="Calibri" w:cs="Calibri" w:eastAsia="Calibri" w:hAnsi="Calibri"/>
          <w:color w:val="233139"/>
          <w:sz w:val="21"/>
          <w:szCs w:val="21"/>
        </w:rPr>
        <w:t xml:space="preserve">Titel wirken lassen. „Der Satz auf dieser Folie ist einer der häufigsten, den Betroffene hören – und er ist genau das Problem.“</w:t>
      </w:r>
    </w:p>
    <w:p>
      <w:pPr>
        <w:pStyle w:val="ListParagraph"/>
        <w:numPr>
          <w:ilvl w:val="0"/>
          <w:numId w:val="1"/>
        </w:numPr>
        <w:spacing w:after="70" w:line="264"/>
      </w:pPr>
      <w:r>
        <w:rPr>
          <w:rFonts w:ascii="Calibri" w:cs="Calibri" w:eastAsia="Calibri" w:hAnsi="Calibri"/>
          <w:b/>
          <w:bCs/>
          <w:color w:val="233139"/>
          <w:sz w:val="21"/>
          <w:szCs w:val="21"/>
        </w:rPr>
        <w:t xml:space="preserve">Über mich (Folie 2): </w:t>
      </w:r>
      <w:r>
        <w:rPr>
          <w:rFonts w:ascii="Calibri" w:cs="Calibri" w:eastAsia="Calibri" w:hAnsi="Calibri"/>
          <w:color w:val="233139"/>
          <w:sz w:val="21"/>
          <w:szCs w:val="21"/>
        </w:rPr>
        <w:t xml:space="preserve">Kurz Ihre Geschichte anreißen (siehe Kap. 3). Nicht als Arzt, sondern als Mensch mit eigener Erfahrung.</w:t>
      </w:r>
    </w:p>
    <w:p>
      <w:pPr>
        <w:pStyle w:val="ListParagraph"/>
        <w:numPr>
          <w:ilvl w:val="0"/>
          <w:numId w:val="1"/>
        </w:numPr>
        <w:spacing w:after="70" w:line="264"/>
      </w:pPr>
      <w:r>
        <w:rPr>
          <w:rFonts w:ascii="Calibri" w:cs="Calibri" w:eastAsia="Calibri" w:hAnsi="Calibri"/>
          <w:b/>
          <w:bCs/>
          <w:color w:val="233139"/>
          <w:sz w:val="21"/>
          <w:szCs w:val="21"/>
        </w:rPr>
        <w:t xml:space="preserve">Sicherheit (Folie 3): </w:t>
      </w:r>
      <w:r>
        <w:rPr>
          <w:rFonts w:ascii="Calibri" w:cs="Calibri" w:eastAsia="Calibri" w:hAnsi="Calibri"/>
          <w:color w:val="233139"/>
          <w:sz w:val="21"/>
          <w:szCs w:val="21"/>
        </w:rPr>
        <w:t xml:space="preserve">Die drei Zusagen: Sie bestimmen Ihre Grenze · Pausen sind okay · Reden hilft, muss aber nicht.</w:t>
      </w:r>
    </w:p>
    <w:p>
      <w:pPr>
        <w:pStyle w:val="ListParagraph"/>
        <w:numPr>
          <w:ilvl w:val="0"/>
          <w:numId w:val="1"/>
        </w:numPr>
        <w:spacing w:after="70" w:line="264"/>
      </w:pPr>
      <w:r>
        <w:rPr>
          <w:rFonts w:ascii="Calibri" w:cs="Calibri" w:eastAsia="Calibri" w:hAnsi="Calibri"/>
          <w:b/>
          <w:bCs/>
          <w:color w:val="233139"/>
          <w:sz w:val="21"/>
          <w:szCs w:val="21"/>
        </w:rPr>
        <w:t xml:space="preserve">Ablauf &amp; roter Faden (Folie 4): </w:t>
      </w:r>
      <w:r>
        <w:rPr>
          <w:rFonts w:ascii="Calibri" w:cs="Calibri" w:eastAsia="Calibri" w:hAnsi="Calibri"/>
          <w:color w:val="233139"/>
          <w:sz w:val="21"/>
          <w:szCs w:val="21"/>
        </w:rPr>
        <w:t xml:space="preserve">Versprechen: „Mein Ziel ist nicht, dass Sie Fachbegriffe mitnehmen, sondern ein Gefühl.“</w:t>
      </w:r>
    </w:p>
    <w:p>
      <w:pPr>
        <w:pStyle w:val="ListParagraph"/>
        <w:numPr>
          <w:ilvl w:val="0"/>
          <w:numId w:val="1"/>
        </w:numPr>
        <w:spacing w:after="70" w:line="264"/>
      </w:pPr>
      <w:r>
        <w:rPr>
          <w:rFonts w:ascii="Calibri" w:cs="Calibri" w:eastAsia="Calibri" w:hAnsi="Calibri"/>
          <w:b/>
          <w:bCs/>
          <w:color w:val="233139"/>
          <w:sz w:val="21"/>
          <w:szCs w:val="21"/>
        </w:rPr>
        <w:t xml:space="preserve">Warum wir hier sind (Folie 5): </w:t>
      </w:r>
      <w:r>
        <w:rPr>
          <w:rFonts w:ascii="Calibri" w:cs="Calibri" w:eastAsia="Calibri" w:hAnsi="Calibri"/>
          <w:color w:val="233139"/>
          <w:sz w:val="21"/>
          <w:szCs w:val="21"/>
        </w:rPr>
        <w:t xml:space="preserve">„Statistisch ist mindestens jede vierte Person hier betroffen – oder ein enger Angehöriger.“</w:t>
      </w:r>
    </w:p>
    <w:p>
      <w:pPr>
        <w:pStyle w:val="ListParagraph"/>
        <w:numPr>
          <w:ilvl w:val="0"/>
          <w:numId w:val="1"/>
        </w:numPr>
        <w:spacing w:after="70" w:line="264"/>
      </w:pPr>
      <w:r>
        <w:rPr>
          <w:rFonts w:ascii="Calibri" w:cs="Calibri" w:eastAsia="Calibri" w:hAnsi="Calibri"/>
          <w:b/>
          <w:bCs/>
          <w:color w:val="233139"/>
          <w:sz w:val="21"/>
          <w:szCs w:val="21"/>
        </w:rPr>
        <w:t xml:space="preserve">Erwartungen (Folie 6): </w:t>
      </w:r>
      <w:r>
        <w:rPr>
          <w:rFonts w:ascii="Calibri" w:cs="Calibri" w:eastAsia="Calibri" w:hAnsi="Calibri"/>
          <w:color w:val="233139"/>
          <w:sz w:val="21"/>
          <w:szCs w:val="21"/>
        </w:rPr>
        <w:t xml:space="preserve">Auf Karten sammeln, an Pinnwand hängen. Am Ende darauf zurückkommen.</w:t>
      </w:r>
    </w:p>
    <w:p>
      <w:pPr>
        <w:pStyle w:val="ListParagraph"/>
        <w:numPr>
          <w:ilvl w:val="0"/>
          <w:numId w:val="1"/>
        </w:numPr>
        <w:spacing w:after="70" w:line="264"/>
      </w:pPr>
      <w:r>
        <w:rPr>
          <w:rFonts w:ascii="Calibri" w:cs="Calibri" w:eastAsia="Calibri" w:hAnsi="Calibri"/>
          <w:b/>
          <w:bCs/>
          <w:color w:val="233139"/>
          <w:sz w:val="21"/>
          <w:szCs w:val="21"/>
        </w:rPr>
        <w:t xml:space="preserve">Gruppenvereinbarung (Folie 7): </w:t>
      </w:r>
      <w:r>
        <w:rPr>
          <w:rFonts w:ascii="Calibri" w:cs="Calibri" w:eastAsia="Calibri" w:hAnsi="Calibri"/>
          <w:color w:val="233139"/>
          <w:sz w:val="21"/>
          <w:szCs w:val="21"/>
        </w:rPr>
        <w:t xml:space="preserve">Die sechs Regeln gemeinsam „absegnen“ (Handzeichen). Ergänzungen zulassen.</w:t>
      </w:r>
    </w:p>
    <w:tbl>
      <w:tblPr>
        <w:tblW w:type="dxa" w:w="9360"/>
        <w:tblBorders>
          <w:top w:val="single" w:color="E7ECEC" w:sz="2"/>
          <w:left w:val="single" w:color="2E4A52" w:sz="18"/>
          <w:bottom w:val="single" w:color="E7ECEC" w:sz="2"/>
          <w:right w:val="single" w:color="E7ECEC" w:sz="2"/>
          <w:insideH w:val="none"/>
          <w:insideV w:val="none"/>
        </w:tblBorders>
      </w:tblPr>
      <w:tblGrid>
        <w:gridCol w:w="9360"/>
      </w:tblGrid>
      <w:tr>
        <w:tc>
          <w:tcPr>
            <w:tcW w:type="dxa" w:w="9360"/>
            <w:shd w:fill="E7ECEC" w:color="auto" w:val="clear"/>
            <w:tcMar>
              <w:top w:type="dxa" w:w="140"/>
              <w:left w:type="dxa" w:w="200"/>
              <w:bottom w:type="dxa" w:w="140"/>
              <w:right w:type="dxa" w:w="200"/>
            </w:tcMar>
          </w:tcPr>
          <w:p>
            <w:pPr>
              <w:spacing w:after="60"/>
            </w:pPr>
            <w:r>
              <w:rPr>
                <w:rFonts w:ascii="Cambria" w:cs="Cambria" w:eastAsia="Cambria" w:hAnsi="Cambria"/>
                <w:b/>
                <w:bCs/>
                <w:color w:val="2E4A52"/>
                <w:sz w:val="22"/>
                <w:szCs w:val="22"/>
              </w:rPr>
              <w:t xml:space="preserve">Übergang</w:t>
            </w:r>
          </w:p>
          <w:p>
            <w:pPr>
              <w:spacing w:after="0" w:before="0" w:line="276"/>
            </w:pPr>
            <w:r>
              <w:rPr>
                <w:rFonts w:ascii="Calibri" w:cs="Calibri" w:eastAsia="Calibri" w:hAnsi="Calibri"/>
                <w:i/>
                <w:iCs/>
                <w:color w:val="2E4A52"/>
                <w:sz w:val="21"/>
                <w:szCs w:val="21"/>
              </w:rPr>
              <w:t xml:space="preserve">„Damit wir wissen, worüber wir reden, schauen wir uns zuerst an, was psychische Erkrankungen überhaupt sind – und wie häufig sie sind.“</w:t>
            </w:r>
          </w:p>
        </w:tc>
      </w:tr>
    </w:tbl>
    <w:p>
      <w:pPr>
        <w:pStyle w:val="Heading2"/>
      </w:pPr>
      <w:r>
        <w:t xml:space="preserve">Modul 2 · Was sind psychische Erkrankungen? — 30 Min. (Folien 8–15)</w:t>
      </w:r>
    </w:p>
    <w:p>
      <w:pPr>
        <w:spacing w:after="120" w:before="0" w:line="276"/>
      </w:pPr>
      <w:r>
        <w:rPr>
          <w:rFonts w:ascii="Calibri" w:cs="Calibri" w:eastAsia="Calibri" w:hAnsi="Calibri"/>
          <w:b/>
          <w:bCs/>
          <w:color w:val="233139"/>
          <w:sz w:val="21"/>
          <w:szCs w:val="21"/>
        </w:rPr>
        <w:t xml:space="preserve">Ziel: </w:t>
      </w:r>
      <w:r>
        <w:rPr>
          <w:rFonts w:ascii="Calibri" w:cs="Calibri" w:eastAsia="Calibri" w:hAnsi="Calibri"/>
          <w:color w:val="233139"/>
          <w:sz w:val="21"/>
          <w:szCs w:val="21"/>
        </w:rPr>
        <w:t xml:space="preserve">Ausmaß begreifbar machen, Erkrankung von Stress/Krise abgrenzen, fünf Erkrankungen mit je einem Bild kennenlernen.</w:t>
      </w:r>
    </w:p>
    <w:p>
      <w:pPr>
        <w:pStyle w:val="Heading3"/>
      </w:pPr>
      <w:r>
        <w:t xml:space="preserve">Ablauf</w:t>
      </w:r>
    </w:p>
    <w:p>
      <w:pPr>
        <w:pStyle w:val="ListParagraph"/>
        <w:numPr>
          <w:ilvl w:val="0"/>
          <w:numId w:val="1"/>
        </w:numPr>
        <w:spacing w:after="70" w:line="264"/>
      </w:pPr>
      <w:r>
        <w:rPr>
          <w:rFonts w:ascii="Calibri" w:cs="Calibri" w:eastAsia="Calibri" w:hAnsi="Calibri"/>
          <w:b/>
          <w:bCs/>
          <w:color w:val="233139"/>
          <w:sz w:val="21"/>
          <w:szCs w:val="21"/>
        </w:rPr>
        <w:t xml:space="preserve">Häufigkeit (Folie 8): </w:t>
      </w:r>
      <w:r>
        <w:rPr>
          <w:rFonts w:ascii="Calibri" w:cs="Calibri" w:eastAsia="Calibri" w:hAnsi="Calibri"/>
          <w:color w:val="233139"/>
          <w:sz w:val="21"/>
          <w:szCs w:val="21"/>
        </w:rPr>
        <w:t xml:space="preserve">Zahlen auf den Raum umrechnen. Betonen: Volkskrankheit wie Diabetes – keine Randgruppe.</w:t>
      </w:r>
    </w:p>
    <w:p>
      <w:pPr>
        <w:pStyle w:val="ListParagraph"/>
        <w:numPr>
          <w:ilvl w:val="0"/>
          <w:numId w:val="1"/>
        </w:numPr>
        <w:spacing w:after="70" w:line="264"/>
      </w:pPr>
      <w:r>
        <w:rPr>
          <w:rFonts w:ascii="Calibri" w:cs="Calibri" w:eastAsia="Calibri" w:hAnsi="Calibri"/>
          <w:b/>
          <w:bCs/>
          <w:color w:val="233139"/>
          <w:sz w:val="21"/>
          <w:szCs w:val="21"/>
        </w:rPr>
        <w:t xml:space="preserve">Stress – Krise – Erkrankung (Folie 9): </w:t>
      </w:r>
      <w:r>
        <w:rPr>
          <w:rFonts w:ascii="Calibri" w:cs="Calibri" w:eastAsia="Calibri" w:hAnsi="Calibri"/>
          <w:color w:val="233139"/>
          <w:sz w:val="21"/>
          <w:szCs w:val="21"/>
        </w:rPr>
        <w:t xml:space="preserve">Kernbotschaft: Erkrankung ist nicht „mehr Stress“, sondern etwas qualitativ anderes – sie bleibt und geht nicht allein weg.</w:t>
      </w:r>
    </w:p>
    <w:p>
      <w:pPr>
        <w:pStyle w:val="ListParagraph"/>
        <w:numPr>
          <w:ilvl w:val="0"/>
          <w:numId w:val="1"/>
        </w:numPr>
        <w:spacing w:after="70" w:line="264"/>
      </w:pPr>
      <w:r>
        <w:rPr>
          <w:rFonts w:ascii="Calibri" w:cs="Calibri" w:eastAsia="Calibri" w:hAnsi="Calibri"/>
          <w:b/>
          <w:bCs/>
          <w:color w:val="233139"/>
          <w:sz w:val="21"/>
          <w:szCs w:val="21"/>
        </w:rPr>
        <w:t xml:space="preserve">Überblick (Folie 10): </w:t>
      </w:r>
      <w:r>
        <w:rPr>
          <w:rFonts w:ascii="Calibri" w:cs="Calibri" w:eastAsia="Calibri" w:hAnsi="Calibri"/>
          <w:color w:val="233139"/>
          <w:sz w:val="21"/>
          <w:szCs w:val="21"/>
        </w:rPr>
        <w:t xml:space="preserve">Die fünf Erkrankungen als Landkarte, jeweils schon mit Metapher angeteasert.</w:t>
      </w:r>
    </w:p>
    <w:p>
      <w:pPr>
        <w:pStyle w:val="ListParagraph"/>
        <w:numPr>
          <w:ilvl w:val="0"/>
          <w:numId w:val="1"/>
        </w:numPr>
        <w:spacing w:after="70" w:line="264"/>
      </w:pPr>
      <w:r>
        <w:rPr>
          <w:rFonts w:ascii="Calibri" w:cs="Calibri" w:eastAsia="Calibri" w:hAnsi="Calibri"/>
          <w:b/>
          <w:bCs/>
          <w:color w:val="233139"/>
          <w:sz w:val="21"/>
          <w:szCs w:val="21"/>
        </w:rPr>
        <w:t xml:space="preserve">Depression (11): </w:t>
      </w:r>
      <w:r>
        <w:rPr>
          <w:rFonts w:ascii="Calibri" w:cs="Calibri" w:eastAsia="Calibri" w:hAnsi="Calibri"/>
          <w:color w:val="233139"/>
          <w:sz w:val="21"/>
          <w:szCs w:val="21"/>
        </w:rPr>
        <w:t xml:space="preserve">Mehr als traurig – „Graufilter“, oft Leere statt Trauer.</w:t>
      </w:r>
    </w:p>
    <w:p>
      <w:pPr>
        <w:pStyle w:val="ListParagraph"/>
        <w:numPr>
          <w:ilvl w:val="0"/>
          <w:numId w:val="1"/>
        </w:numPr>
        <w:spacing w:after="70" w:line="264"/>
      </w:pPr>
      <w:r>
        <w:rPr>
          <w:rFonts w:ascii="Calibri" w:cs="Calibri" w:eastAsia="Calibri" w:hAnsi="Calibri"/>
          <w:b/>
          <w:bCs/>
          <w:color w:val="233139"/>
          <w:sz w:val="21"/>
          <w:szCs w:val="21"/>
        </w:rPr>
        <w:t xml:space="preserve">Angst &amp; Panik (12): </w:t>
      </w:r>
      <w:r>
        <w:rPr>
          <w:rFonts w:ascii="Calibri" w:cs="Calibri" w:eastAsia="Calibri" w:hAnsi="Calibri"/>
          <w:color w:val="233139"/>
          <w:sz w:val="21"/>
          <w:szCs w:val="21"/>
        </w:rPr>
        <w:t xml:space="preserve">„Rauchmelder“ – Alarm ohne Feuer. Panikattacke fühlt sich lebensbedrohlich an.</w:t>
      </w:r>
    </w:p>
    <w:p>
      <w:pPr>
        <w:pStyle w:val="ListParagraph"/>
        <w:numPr>
          <w:ilvl w:val="0"/>
          <w:numId w:val="1"/>
        </w:numPr>
        <w:spacing w:after="70" w:line="264"/>
      </w:pPr>
      <w:r>
        <w:rPr>
          <w:rFonts w:ascii="Calibri" w:cs="Calibri" w:eastAsia="Calibri" w:hAnsi="Calibri"/>
          <w:b/>
          <w:bCs/>
          <w:color w:val="233139"/>
          <w:sz w:val="21"/>
          <w:szCs w:val="21"/>
        </w:rPr>
        <w:t xml:space="preserve">Burnout (13): </w:t>
      </w:r>
      <w:r>
        <w:rPr>
          <w:rFonts w:ascii="Calibri" w:cs="Calibri" w:eastAsia="Calibri" w:hAnsi="Calibri"/>
          <w:color w:val="233139"/>
          <w:sz w:val="21"/>
          <w:szCs w:val="21"/>
        </w:rPr>
        <w:t xml:space="preserve">„Erloschenes Feuer“ – trifft die Engagierten, nicht die Faulen.</w:t>
      </w:r>
    </w:p>
    <w:p>
      <w:pPr>
        <w:pStyle w:val="ListParagraph"/>
        <w:numPr>
          <w:ilvl w:val="0"/>
          <w:numId w:val="1"/>
        </w:numPr>
        <w:spacing w:after="70" w:line="264"/>
      </w:pPr>
      <w:r>
        <w:rPr>
          <w:rFonts w:ascii="Calibri" w:cs="Calibri" w:eastAsia="Calibri" w:hAnsi="Calibri"/>
          <w:b/>
          <w:bCs/>
          <w:color w:val="233139"/>
          <w:sz w:val="21"/>
          <w:szCs w:val="21"/>
        </w:rPr>
        <w:t xml:space="preserve">PTBS (14): </w:t>
      </w:r>
      <w:r>
        <w:rPr>
          <w:rFonts w:ascii="Calibri" w:cs="Calibri" w:eastAsia="Calibri" w:hAnsi="Calibri"/>
          <w:color w:val="233139"/>
          <w:sz w:val="21"/>
          <w:szCs w:val="21"/>
        </w:rPr>
        <w:t xml:space="preserve">Ihr persönlicher Ankerpunkt. Flashback = Wiedererleben, nicht Erinnern. Danach 3 Sek. Stille.</w:t>
      </w:r>
    </w:p>
    <w:p>
      <w:pPr>
        <w:pStyle w:val="ListParagraph"/>
        <w:numPr>
          <w:ilvl w:val="0"/>
          <w:numId w:val="1"/>
        </w:numPr>
        <w:spacing w:after="70" w:line="264"/>
      </w:pPr>
      <w:r>
        <w:rPr>
          <w:rFonts w:ascii="Calibri" w:cs="Calibri" w:eastAsia="Calibri" w:hAnsi="Calibri"/>
          <w:b/>
          <w:bCs/>
          <w:color w:val="233139"/>
          <w:sz w:val="21"/>
          <w:szCs w:val="21"/>
        </w:rPr>
        <w:t xml:space="preserve">Bipolare Störung (15): </w:t>
      </w:r>
      <w:r>
        <w:rPr>
          <w:rFonts w:ascii="Calibri" w:cs="Calibri" w:eastAsia="Calibri" w:hAnsi="Calibri"/>
          <w:color w:val="233139"/>
          <w:sz w:val="21"/>
          <w:szCs w:val="21"/>
        </w:rPr>
        <w:t xml:space="preserve">„Gezeiten“ – echte Phasen, nicht Alltagslaunen. Gut behandelbar.</w:t>
      </w:r>
    </w:p>
    <w:tbl>
      <w:tblPr>
        <w:tblW w:type="dxa" w:w="9360"/>
        <w:tblBorders>
          <w:top w:val="single" w:color="E7ECEC" w:sz="2"/>
          <w:left w:val="single" w:color="2E4A52" w:sz="18"/>
          <w:bottom w:val="single" w:color="E7ECEC" w:sz="2"/>
          <w:right w:val="single" w:color="E7ECEC" w:sz="2"/>
          <w:insideH w:val="none"/>
          <w:insideV w:val="none"/>
        </w:tblBorders>
      </w:tblPr>
      <w:tblGrid>
        <w:gridCol w:w="9360"/>
      </w:tblGrid>
      <w:tr>
        <w:tc>
          <w:tcPr>
            <w:tcW w:type="dxa" w:w="9360"/>
            <w:shd w:fill="E7ECEC" w:color="auto" w:val="clear"/>
            <w:tcMar>
              <w:top w:type="dxa" w:w="140"/>
              <w:left w:type="dxa" w:w="200"/>
              <w:bottom w:type="dxa" w:w="140"/>
              <w:right w:type="dxa" w:w="200"/>
            </w:tcMar>
          </w:tcPr>
          <w:p>
            <w:pPr>
              <w:spacing w:after="60"/>
            </w:pPr>
            <w:r>
              <w:rPr>
                <w:rFonts w:ascii="Cambria" w:cs="Cambria" w:eastAsia="Cambria" w:hAnsi="Cambria"/>
                <w:b/>
                <w:bCs/>
                <w:color w:val="2E4A52"/>
                <w:sz w:val="22"/>
                <w:szCs w:val="22"/>
              </w:rPr>
              <w:t xml:space="preserve">Übergang</w:t>
            </w:r>
          </w:p>
          <w:p>
            <w:pPr>
              <w:spacing w:after="0" w:before="0" w:line="276"/>
            </w:pPr>
            <w:r>
              <w:rPr>
                <w:rFonts w:ascii="Calibri" w:cs="Calibri" w:eastAsia="Calibri" w:hAnsi="Calibri"/>
                <w:i/>
                <w:iCs/>
                <w:color w:val="2E4A52"/>
                <w:sz w:val="21"/>
                <w:szCs w:val="21"/>
              </w:rPr>
              <w:t xml:space="preserve">„Jetzt wissen wir, was diese Erkrankungen sind. Aber Wissen ist das eine. Jetzt versuchen wir zu fühlen, wie sich das anfühlt.“</w:t>
            </w:r>
          </w:p>
        </w:tc>
      </w:tr>
    </w:tbl>
    <w:p>
      <w:pPr>
        <w:pStyle w:val="Heading2"/>
      </w:pPr>
      <w:r>
        <w:t xml:space="preserve">Modul 3 · Wie fühlt sich das an? — 45 Min. (Folien 16–24)</w:t>
      </w:r>
    </w:p>
    <w:p>
      <w:pPr>
        <w:spacing w:after="120" w:before="0" w:line="276"/>
      </w:pPr>
      <w:r>
        <w:rPr>
          <w:rFonts w:ascii="Calibri" w:cs="Calibri" w:eastAsia="Calibri" w:hAnsi="Calibri"/>
          <w:b/>
          <w:bCs/>
          <w:color w:val="233139"/>
          <w:sz w:val="21"/>
          <w:szCs w:val="21"/>
        </w:rPr>
        <w:t xml:space="preserve">Ziel: </w:t>
      </w:r>
      <w:r>
        <w:rPr>
          <w:rFonts w:ascii="Calibri" w:cs="Calibri" w:eastAsia="Calibri" w:hAnsi="Calibri"/>
          <w:color w:val="233139"/>
          <w:sz w:val="21"/>
          <w:szCs w:val="21"/>
        </w:rPr>
        <w:t xml:space="preserve">Der emotionale Kern. Über Bilder Empathie ermöglichen. Verstehen, warum man es nicht sieht und warum „positiv denken“ nicht reicht.</w:t>
      </w:r>
    </w:p>
    <w:p>
      <w:pPr>
        <w:pStyle w:val="Heading3"/>
      </w:pPr>
      <w:r>
        <w:t xml:space="preserve">Ablauf</w:t>
      </w:r>
    </w:p>
    <w:p>
      <w:pPr>
        <w:pStyle w:val="ListParagraph"/>
        <w:numPr>
          <w:ilvl w:val="0"/>
          <w:numId w:val="1"/>
        </w:numPr>
        <w:spacing w:after="70" w:line="264"/>
      </w:pPr>
      <w:r>
        <w:rPr>
          <w:rFonts w:ascii="Calibri" w:cs="Calibri" w:eastAsia="Calibri" w:hAnsi="Calibri"/>
          <w:b/>
          <w:bCs/>
          <w:color w:val="233139"/>
          <w:sz w:val="21"/>
          <w:szCs w:val="21"/>
        </w:rPr>
        <w:t xml:space="preserve">Sektionsstart (16): </w:t>
      </w:r>
      <w:r>
        <w:rPr>
          <w:rFonts w:ascii="Calibri" w:cs="Calibri" w:eastAsia="Calibri" w:hAnsi="Calibri"/>
          <w:color w:val="233139"/>
          <w:sz w:val="21"/>
          <w:szCs w:val="21"/>
        </w:rPr>
        <w:t xml:space="preserve">Tempo herausnehmen. „Bis jetzt haben wir gewusst. Jetzt wollen wir verstehen – also fühlen.“</w:t>
      </w:r>
    </w:p>
    <w:p>
      <w:pPr>
        <w:pStyle w:val="ListParagraph"/>
        <w:numPr>
          <w:ilvl w:val="0"/>
          <w:numId w:val="1"/>
        </w:numPr>
        <w:spacing w:after="70" w:line="264"/>
      </w:pPr>
      <w:r>
        <w:rPr>
          <w:rFonts w:ascii="Calibri" w:cs="Calibri" w:eastAsia="Calibri" w:hAnsi="Calibri"/>
          <w:b/>
          <w:bCs/>
          <w:color w:val="233139"/>
          <w:sz w:val="21"/>
          <w:szCs w:val="21"/>
        </w:rPr>
        <w:t xml:space="preserve">Rucksack (17): </w:t>
      </w:r>
      <w:r>
        <w:rPr>
          <w:rFonts w:ascii="Calibri" w:cs="Calibri" w:eastAsia="Calibri" w:hAnsi="Calibri"/>
          <w:color w:val="233139"/>
          <w:sz w:val="21"/>
          <w:szCs w:val="21"/>
        </w:rPr>
        <w:t xml:space="preserve">Depression = +15 kg auf allem. Aufstehen, Duschen, Lächeln – alles kostet Kraft. „Kein Unwille, sondern die Krankheit.“</w:t>
      </w:r>
    </w:p>
    <w:p>
      <w:pPr>
        <w:pStyle w:val="ListParagraph"/>
        <w:numPr>
          <w:ilvl w:val="0"/>
          <w:numId w:val="1"/>
        </w:numPr>
        <w:spacing w:after="70" w:line="264"/>
      </w:pPr>
      <w:r>
        <w:rPr>
          <w:rFonts w:ascii="Calibri" w:cs="Calibri" w:eastAsia="Calibri" w:hAnsi="Calibri"/>
          <w:b/>
          <w:bCs/>
          <w:color w:val="233139"/>
          <w:sz w:val="21"/>
          <w:szCs w:val="21"/>
        </w:rPr>
        <w:t xml:space="preserve">Eisberg (18): </w:t>
      </w:r>
      <w:r>
        <w:rPr>
          <w:rFonts w:ascii="Calibri" w:cs="Calibri" w:eastAsia="Calibri" w:hAnsi="Calibri"/>
          <w:color w:val="233139"/>
          <w:sz w:val="21"/>
          <w:szCs w:val="21"/>
        </w:rPr>
        <w:t xml:space="preserve">Man sieht nur die Spitze („Mir geht’s gut“). Alles Tragende liegt unter Wasser.</w:t>
      </w:r>
    </w:p>
    <w:p>
      <w:pPr>
        <w:pStyle w:val="ListParagraph"/>
        <w:numPr>
          <w:ilvl w:val="0"/>
          <w:numId w:val="1"/>
        </w:numPr>
        <w:spacing w:after="70" w:line="264"/>
      </w:pPr>
      <w:r>
        <w:rPr>
          <w:rFonts w:ascii="Calibri" w:cs="Calibri" w:eastAsia="Calibri" w:hAnsi="Calibri"/>
          <w:b/>
          <w:bCs/>
          <w:color w:val="233139"/>
          <w:sz w:val="21"/>
          <w:szCs w:val="21"/>
        </w:rPr>
        <w:t xml:space="preserve">Maske / Masking (19): </w:t>
      </w:r>
      <w:r>
        <w:rPr>
          <w:rFonts w:ascii="Calibri" w:cs="Calibri" w:eastAsia="Calibri" w:hAnsi="Calibri"/>
          <w:color w:val="233139"/>
          <w:sz w:val="21"/>
          <w:szCs w:val="21"/>
        </w:rPr>
        <w:t xml:space="preserve">Warum man es nicht sieht: viele funktionieren perfekt und brechen erst zu Hause zusammen.</w:t>
      </w:r>
    </w:p>
    <w:p>
      <w:pPr>
        <w:pStyle w:val="ListParagraph"/>
        <w:numPr>
          <w:ilvl w:val="0"/>
          <w:numId w:val="1"/>
        </w:numPr>
        <w:spacing w:after="70" w:line="264"/>
      </w:pPr>
      <w:r>
        <w:rPr>
          <w:rFonts w:ascii="Calibri" w:cs="Calibri" w:eastAsia="Calibri" w:hAnsi="Calibri"/>
          <w:b/>
          <w:bCs/>
          <w:color w:val="233139"/>
          <w:sz w:val="21"/>
          <w:szCs w:val="21"/>
        </w:rPr>
        <w:t xml:space="preserve">„Positiv denken“ (20): </w:t>
      </w:r>
      <w:r>
        <w:rPr>
          <w:rFonts w:ascii="Calibri" w:cs="Calibri" w:eastAsia="Calibri" w:hAnsi="Calibri"/>
          <w:color w:val="233139"/>
          <w:sz w:val="21"/>
          <w:szCs w:val="21"/>
        </w:rPr>
        <w:t xml:space="preserve">Der Schlüsselvergleich: so hilfreich wie „Lauf halt“ bei gebrochenem Bein. Appelle verstärken Scham.</w:t>
      </w:r>
    </w:p>
    <w:p>
      <w:pPr>
        <w:pStyle w:val="ListParagraph"/>
        <w:numPr>
          <w:ilvl w:val="0"/>
          <w:numId w:val="1"/>
        </w:numPr>
        <w:spacing w:after="70" w:line="264"/>
      </w:pPr>
      <w:r>
        <w:rPr>
          <w:rFonts w:ascii="Calibri" w:cs="Calibri" w:eastAsia="Calibri" w:hAnsi="Calibri"/>
          <w:b/>
          <w:bCs/>
          <w:color w:val="233139"/>
          <w:sz w:val="21"/>
          <w:szCs w:val="21"/>
        </w:rPr>
        <w:t xml:space="preserve">Vergleich körperlich (21): </w:t>
      </w:r>
      <w:r>
        <w:rPr>
          <w:rFonts w:ascii="Calibri" w:cs="Calibri" w:eastAsia="Calibri" w:hAnsi="Calibri"/>
          <w:color w:val="233139"/>
          <w:sz w:val="21"/>
          <w:szCs w:val="21"/>
        </w:rPr>
        <w:t xml:space="preserve">Gleiche Krankheitslogik, ungleiche Reaktion. Letzte Zeile: „Heilung ebenso möglich.“</w:t>
      </w:r>
    </w:p>
    <w:p>
      <w:pPr>
        <w:pStyle w:val="ListParagraph"/>
        <w:numPr>
          <w:ilvl w:val="0"/>
          <w:numId w:val="1"/>
        </w:numPr>
        <w:spacing w:after="70" w:line="264"/>
      </w:pPr>
      <w:r>
        <w:rPr>
          <w:rFonts w:ascii="Calibri" w:cs="Calibri" w:eastAsia="Calibri" w:hAnsi="Calibri"/>
          <w:b/>
          <w:bCs/>
          <w:color w:val="233139"/>
          <w:sz w:val="21"/>
          <w:szCs w:val="21"/>
        </w:rPr>
        <w:t xml:space="preserve">Angst von innen (22): </w:t>
      </w:r>
      <w:r>
        <w:rPr>
          <w:rFonts w:ascii="Calibri" w:cs="Calibri" w:eastAsia="Calibri" w:hAnsi="Calibri"/>
          <w:color w:val="233139"/>
          <w:sz w:val="21"/>
          <w:szCs w:val="21"/>
        </w:rPr>
        <w:t xml:space="preserve">Körper im Vollalarm. Optionale, freiwillige Atem-Mini-Erfahrung (siehe Notizen der Folie).</w:t>
      </w:r>
    </w:p>
    <w:p>
      <w:pPr>
        <w:pStyle w:val="ListParagraph"/>
        <w:numPr>
          <w:ilvl w:val="0"/>
          <w:numId w:val="1"/>
        </w:numPr>
        <w:spacing w:after="70" w:line="264"/>
      </w:pPr>
      <w:r>
        <w:rPr>
          <w:rFonts w:ascii="Calibri" w:cs="Calibri" w:eastAsia="Calibri" w:hAnsi="Calibri"/>
          <w:b/>
          <w:bCs/>
          <w:color w:val="233139"/>
          <w:sz w:val="21"/>
          <w:szCs w:val="21"/>
        </w:rPr>
        <w:t xml:space="preserve">Alltagsbeispiele (23): </w:t>
      </w:r>
      <w:r>
        <w:rPr>
          <w:rFonts w:ascii="Calibri" w:cs="Calibri" w:eastAsia="Calibri" w:hAnsi="Calibri"/>
          <w:color w:val="233139"/>
          <w:sz w:val="21"/>
          <w:szCs w:val="21"/>
        </w:rPr>
        <w:t xml:space="preserve">Verhalten neu deuten: nicht „unzuverlässig“, sondern krank. Ihr persönliches Beispiel.</w:t>
      </w:r>
    </w:p>
    <w:p>
      <w:pPr>
        <w:pStyle w:val="ListParagraph"/>
        <w:numPr>
          <w:ilvl w:val="0"/>
          <w:numId w:val="1"/>
        </w:numPr>
        <w:spacing w:after="70" w:line="264"/>
      </w:pPr>
      <w:r>
        <w:rPr>
          <w:rFonts w:ascii="Calibri" w:cs="Calibri" w:eastAsia="Calibri" w:hAnsi="Calibri"/>
          <w:b/>
          <w:bCs/>
          <w:color w:val="233139"/>
          <w:sz w:val="21"/>
          <w:szCs w:val="21"/>
        </w:rPr>
        <w:t xml:space="preserve">Übung Perspektivwechsel (24): </w:t>
      </w:r>
      <w:r>
        <w:rPr>
          <w:rFonts w:ascii="Calibri" w:cs="Calibri" w:eastAsia="Calibri" w:hAnsi="Calibri"/>
          <w:color w:val="233139"/>
          <w:sz w:val="21"/>
          <w:szCs w:val="21"/>
        </w:rPr>
        <w:t xml:space="preserve">„Ein Tag mit Depression“ (Details Kap. 7).</w:t>
      </w:r>
    </w:p>
    <w:tbl>
      <w:tblPr>
        <w:tblW w:type="dxa" w:w="9360"/>
        <w:tblBorders>
          <w:top w:val="single" w:color="F6ECE0" w:sz="2"/>
          <w:left w:val="single" w:color="B9793B" w:sz="18"/>
          <w:bottom w:val="single" w:color="F6ECE0" w:sz="2"/>
          <w:right w:val="single" w:color="F6ECE0" w:sz="2"/>
          <w:insideH w:val="none"/>
          <w:insideV w:val="none"/>
        </w:tblBorders>
      </w:tblPr>
      <w:tblGrid>
        <w:gridCol w:w="9360"/>
      </w:tblGrid>
      <w:tr>
        <w:tc>
          <w:tcPr>
            <w:tcW w:type="dxa" w:w="9360"/>
            <w:shd w:fill="F6ECE0" w:color="auto" w:val="clear"/>
            <w:tcMar>
              <w:top w:type="dxa" w:w="140"/>
              <w:left w:type="dxa" w:w="200"/>
              <w:bottom w:type="dxa" w:w="140"/>
              <w:right w:type="dxa" w:w="200"/>
            </w:tcMar>
          </w:tcPr>
          <w:p>
            <w:pPr>
              <w:spacing w:after="60"/>
            </w:pPr>
            <w:r>
              <w:rPr>
                <w:rFonts w:ascii="Cambria" w:cs="Cambria" w:eastAsia="Cambria" w:hAnsi="Cambria"/>
                <w:b/>
                <w:bCs/>
                <w:color w:val="B9793B"/>
                <w:sz w:val="22"/>
                <w:szCs w:val="22"/>
              </w:rPr>
              <w:t xml:space="preserve">Achtung – emotional dichtes Modul</w:t>
            </w:r>
          </w:p>
          <w:p>
            <w:pPr>
              <w:spacing w:after="0" w:before="0" w:line="276"/>
            </w:pPr>
            <w:r>
              <w:rPr>
                <w:rFonts w:ascii="Calibri" w:cs="Calibri" w:eastAsia="Calibri" w:hAnsi="Calibri"/>
                <w:color w:val="233139"/>
                <w:sz w:val="21"/>
                <w:szCs w:val="21"/>
              </w:rPr>
              <w:t xml:space="preserve">Dies ist der intensivste Teil. Halten Sie das Tempo niedrig, lassen Sie Stille zu, und beobachten Sie die Gruppe. Danach folgt bewusst die Pause. Siehe auch Kapitel 9 (schwierige Situationen).</w:t>
            </w:r>
          </w:p>
        </w:tc>
      </w:tr>
    </w:tbl>
    <w:p>
      <w:pPr>
        <w:pStyle w:val="Heading2"/>
      </w:pPr>
      <w:r>
        <w:t xml:space="preserve">Pause — 15 Min. (Folie 25)</w:t>
      </w:r>
    </w:p>
    <w:p>
      <w:pPr>
        <w:spacing w:after="120" w:before="0" w:line="276"/>
      </w:pPr>
      <w:r>
        <w:rPr>
          <w:rFonts w:ascii="Calibri" w:cs="Calibri" w:eastAsia="Calibri" w:hAnsi="Calibri"/>
          <w:color w:val="233139"/>
          <w:sz w:val="21"/>
          <w:szCs w:val="21"/>
        </w:rPr>
        <w:t xml:space="preserve">Nach dem emotionalen Modul 3 besonders wichtig. Bleiben Sie ansprechbar für Teilnehmende, die etwas loswerden wollen, und achten Sie auf Ihre eigene Selbstfürsorge.</w:t>
      </w:r>
    </w:p>
    <w:p>
      <w:pPr>
        <w:pStyle w:val="Heading2"/>
      </w:pPr>
      <w:r>
        <w:t xml:space="preserve">Modul 4 · Umgang mit Betroffenen — 45 Min. (Folien 26–32)</w:t>
      </w:r>
    </w:p>
    <w:p>
      <w:pPr>
        <w:spacing w:after="120" w:before="0" w:line="276"/>
      </w:pPr>
      <w:r>
        <w:rPr>
          <w:rFonts w:ascii="Calibri" w:cs="Calibri" w:eastAsia="Calibri" w:hAnsi="Calibri"/>
          <w:b/>
          <w:bCs/>
          <w:color w:val="233139"/>
          <w:sz w:val="21"/>
          <w:szCs w:val="21"/>
        </w:rPr>
        <w:t xml:space="preserve">Ziel: </w:t>
      </w:r>
      <w:r>
        <w:rPr>
          <w:rFonts w:ascii="Calibri" w:cs="Calibri" w:eastAsia="Calibri" w:hAnsi="Calibri"/>
          <w:color w:val="233139"/>
          <w:sz w:val="21"/>
          <w:szCs w:val="21"/>
        </w:rPr>
        <w:t xml:space="preserve">Von Hilflosigkeit zu Handlungskompetenz. „Man muss kein Therapeut sein, um zu helfen.“</w:t>
      </w:r>
    </w:p>
    <w:p>
      <w:pPr>
        <w:pStyle w:val="Heading3"/>
      </w:pPr>
      <w:r>
        <w:t xml:space="preserve">Ablauf</w:t>
      </w:r>
    </w:p>
    <w:p>
      <w:pPr>
        <w:pStyle w:val="ListParagraph"/>
        <w:numPr>
          <w:ilvl w:val="0"/>
          <w:numId w:val="1"/>
        </w:numPr>
        <w:spacing w:after="70" w:line="264"/>
      </w:pPr>
      <w:r>
        <w:rPr>
          <w:rFonts w:ascii="Calibri" w:cs="Calibri" w:eastAsia="Calibri" w:hAnsi="Calibri"/>
          <w:b/>
          <w:bCs/>
          <w:color w:val="233139"/>
          <w:sz w:val="21"/>
          <w:szCs w:val="21"/>
        </w:rPr>
        <w:t xml:space="preserve">Sektionsstart (26): </w:t>
      </w:r>
      <w:r>
        <w:rPr>
          <w:rFonts w:ascii="Calibri" w:cs="Calibri" w:eastAsia="Calibri" w:hAnsi="Calibri"/>
          <w:color w:val="233139"/>
          <w:sz w:val="21"/>
          <w:szCs w:val="21"/>
        </w:rPr>
        <w:t xml:space="preserve">„Sie müssen nichts reparieren. Sie müssen da sein.“</w:t>
      </w:r>
    </w:p>
    <w:p>
      <w:pPr>
        <w:pStyle w:val="ListParagraph"/>
        <w:numPr>
          <w:ilvl w:val="0"/>
          <w:numId w:val="1"/>
        </w:numPr>
        <w:spacing w:after="70" w:line="264"/>
      </w:pPr>
      <w:r>
        <w:rPr>
          <w:rFonts w:ascii="Calibri" w:cs="Calibri" w:eastAsia="Calibri" w:hAnsi="Calibri"/>
          <w:b/>
          <w:bCs/>
          <w:color w:val="233139"/>
          <w:sz w:val="21"/>
          <w:szCs w:val="21"/>
        </w:rPr>
        <w:t xml:space="preserve">Was hilft (27): </w:t>
      </w:r>
      <w:r>
        <w:rPr>
          <w:rFonts w:ascii="Calibri" w:cs="Calibri" w:eastAsia="Calibri" w:hAnsi="Calibri"/>
          <w:color w:val="233139"/>
          <w:sz w:val="21"/>
          <w:szCs w:val="21"/>
        </w:rPr>
        <w:t xml:space="preserve">Fünf Do’s. Wichtigster Punkt: zuhören ohne zu lösen.</w:t>
      </w:r>
    </w:p>
    <w:p>
      <w:pPr>
        <w:pStyle w:val="ListParagraph"/>
        <w:numPr>
          <w:ilvl w:val="0"/>
          <w:numId w:val="1"/>
        </w:numPr>
        <w:spacing w:after="70" w:line="264"/>
      </w:pPr>
      <w:r>
        <w:rPr>
          <w:rFonts w:ascii="Calibri" w:cs="Calibri" w:eastAsia="Calibri" w:hAnsi="Calibri"/>
          <w:b/>
          <w:bCs/>
          <w:color w:val="233139"/>
          <w:sz w:val="21"/>
          <w:szCs w:val="21"/>
        </w:rPr>
        <w:t xml:space="preserve">Was vermeiden (28): </w:t>
      </w:r>
      <w:r>
        <w:rPr>
          <w:rFonts w:ascii="Calibri" w:cs="Calibri" w:eastAsia="Calibri" w:hAnsi="Calibri"/>
          <w:color w:val="233139"/>
          <w:sz w:val="21"/>
          <w:szCs w:val="21"/>
        </w:rPr>
        <w:t xml:space="preserve">Fünf Don’ts – alle meist lieb gemeint. Kein Schuldgefühl, sondern Verständnis erzeugen.</w:t>
      </w:r>
    </w:p>
    <w:p>
      <w:pPr>
        <w:pStyle w:val="ListParagraph"/>
        <w:numPr>
          <w:ilvl w:val="0"/>
          <w:numId w:val="1"/>
        </w:numPr>
        <w:spacing w:after="70" w:line="264"/>
      </w:pPr>
      <w:r>
        <w:rPr>
          <w:rFonts w:ascii="Calibri" w:cs="Calibri" w:eastAsia="Calibri" w:hAnsi="Calibri"/>
          <w:b/>
          <w:bCs/>
          <w:color w:val="233139"/>
          <w:sz w:val="21"/>
          <w:szCs w:val="21"/>
        </w:rPr>
        <w:t xml:space="preserve">Die richtige Sprache (29): </w:t>
      </w:r>
      <w:r>
        <w:rPr>
          <w:rFonts w:ascii="Calibri" w:cs="Calibri" w:eastAsia="Calibri" w:hAnsi="Calibri"/>
          <w:color w:val="233139"/>
          <w:sz w:val="21"/>
          <w:szCs w:val="21"/>
        </w:rPr>
        <w:t xml:space="preserve">„Sag lieber … statt …“. Beide Sätze laut lesen, Unterschied spüren lassen.</w:t>
      </w:r>
    </w:p>
    <w:p>
      <w:pPr>
        <w:pStyle w:val="ListParagraph"/>
        <w:numPr>
          <w:ilvl w:val="0"/>
          <w:numId w:val="1"/>
        </w:numPr>
        <w:spacing w:after="70" w:line="264"/>
      </w:pPr>
      <w:r>
        <w:rPr>
          <w:rFonts w:ascii="Calibri" w:cs="Calibri" w:eastAsia="Calibri" w:hAnsi="Calibri"/>
          <w:b/>
          <w:bCs/>
          <w:color w:val="233139"/>
          <w:sz w:val="21"/>
          <w:szCs w:val="21"/>
        </w:rPr>
        <w:t xml:space="preserve">Aktives Zuhören (30): </w:t>
      </w:r>
      <w:r>
        <w:rPr>
          <w:rFonts w:ascii="Calibri" w:cs="Calibri" w:eastAsia="Calibri" w:hAnsi="Calibri"/>
          <w:color w:val="233139"/>
          <w:sz w:val="21"/>
          <w:szCs w:val="21"/>
        </w:rPr>
        <w:t xml:space="preserve">Zuwenden, spiegeln, Pausen aushalten, nicht bewerten. Faustregel 80/20.</w:t>
      </w:r>
    </w:p>
    <w:p>
      <w:pPr>
        <w:pStyle w:val="ListParagraph"/>
        <w:numPr>
          <w:ilvl w:val="0"/>
          <w:numId w:val="1"/>
        </w:numPr>
        <w:spacing w:after="70" w:line="264"/>
      </w:pPr>
      <w:r>
        <w:rPr>
          <w:rFonts w:ascii="Calibri" w:cs="Calibri" w:eastAsia="Calibri" w:hAnsi="Calibri"/>
          <w:b/>
          <w:bCs/>
          <w:color w:val="233139"/>
          <w:sz w:val="21"/>
          <w:szCs w:val="21"/>
        </w:rPr>
        <w:t xml:space="preserve">Grenzen &amp; Selbstschutz (31): </w:t>
      </w:r>
      <w:r>
        <w:rPr>
          <w:rFonts w:ascii="Calibri" w:cs="Calibri" w:eastAsia="Calibri" w:hAnsi="Calibri"/>
          <w:color w:val="233139"/>
          <w:sz w:val="21"/>
          <w:szCs w:val="21"/>
        </w:rPr>
        <w:t xml:space="preserve">„Sie sind Brücke zur Hilfe, nicht die Behandlung.“ Notfall: Suizidgedanken direkt ansprechen, 144/142.</w:t>
      </w:r>
    </w:p>
    <w:p>
      <w:pPr>
        <w:pStyle w:val="ListParagraph"/>
        <w:numPr>
          <w:ilvl w:val="0"/>
          <w:numId w:val="1"/>
        </w:numPr>
        <w:spacing w:after="70" w:line="264"/>
      </w:pPr>
      <w:r>
        <w:rPr>
          <w:rFonts w:ascii="Calibri" w:cs="Calibri" w:eastAsia="Calibri" w:hAnsi="Calibri"/>
          <w:b/>
          <w:bCs/>
          <w:color w:val="233139"/>
          <w:sz w:val="21"/>
          <w:szCs w:val="21"/>
        </w:rPr>
        <w:t xml:space="preserve">Übung Rollenspiel (32): </w:t>
      </w:r>
      <w:r>
        <w:rPr>
          <w:rFonts w:ascii="Calibri" w:cs="Calibri" w:eastAsia="Calibri" w:hAnsi="Calibri"/>
          <w:color w:val="233139"/>
          <w:sz w:val="21"/>
          <w:szCs w:val="21"/>
        </w:rPr>
        <w:t xml:space="preserve">„Das schwierige Gespräch“ (Details Kap. 7).</w:t>
      </w:r>
    </w:p>
    <w:tbl>
      <w:tblPr>
        <w:tblW w:type="dxa" w:w="9360"/>
        <w:tblBorders>
          <w:top w:val="single" w:color="E7ECEC" w:sz="2"/>
          <w:left w:val="single" w:color="2E4A52" w:sz="18"/>
          <w:bottom w:val="single" w:color="E7ECEC" w:sz="2"/>
          <w:right w:val="single" w:color="E7ECEC" w:sz="2"/>
          <w:insideH w:val="none"/>
          <w:insideV w:val="none"/>
        </w:tblBorders>
      </w:tblPr>
      <w:tblGrid>
        <w:gridCol w:w="9360"/>
      </w:tblGrid>
      <w:tr>
        <w:tc>
          <w:tcPr>
            <w:tcW w:type="dxa" w:w="9360"/>
            <w:shd w:fill="E7ECEC" w:color="auto" w:val="clear"/>
            <w:tcMar>
              <w:top w:type="dxa" w:w="140"/>
              <w:left w:type="dxa" w:w="200"/>
              <w:bottom w:type="dxa" w:w="140"/>
              <w:right w:type="dxa" w:w="200"/>
            </w:tcMar>
          </w:tcPr>
          <w:p>
            <w:pPr>
              <w:spacing w:after="60"/>
            </w:pPr>
            <w:r>
              <w:rPr>
                <w:rFonts w:ascii="Cambria" w:cs="Cambria" w:eastAsia="Cambria" w:hAnsi="Cambria"/>
                <w:b/>
                <w:bCs/>
                <w:color w:val="2E4A52"/>
                <w:sz w:val="22"/>
                <w:szCs w:val="22"/>
              </w:rPr>
              <w:t xml:space="preserve">Übergang</w:t>
            </w:r>
          </w:p>
          <w:p>
            <w:pPr>
              <w:spacing w:after="0" w:before="0" w:line="276"/>
            </w:pPr>
            <w:r>
              <w:rPr>
                <w:rFonts w:ascii="Calibri" w:cs="Calibri" w:eastAsia="Calibri" w:hAnsi="Calibri"/>
                <w:i/>
                <w:iCs/>
                <w:color w:val="2E4A52"/>
                <w:sz w:val="21"/>
                <w:szCs w:val="21"/>
              </w:rPr>
              <w:t xml:space="preserve">„Wir wissen jetzt, wie sich das anfühlt und wie wir helfen können. Räumen wir zum Schluss mit ein paar hartnäckigen Irrtümern auf.“</w:t>
            </w:r>
          </w:p>
        </w:tc>
      </w:tr>
    </w:tbl>
    <w:p>
      <w:pPr>
        <w:pStyle w:val="Heading2"/>
      </w:pPr>
      <w:r>
        <w:t xml:space="preserve">Modul 5 · Mythen &amp; Fakten — 20 Min. (Folien 33–34)</w:t>
      </w:r>
    </w:p>
    <w:p>
      <w:pPr>
        <w:spacing w:after="120" w:before="0" w:line="276"/>
      </w:pPr>
      <w:r>
        <w:rPr>
          <w:rFonts w:ascii="Calibri" w:cs="Calibri" w:eastAsia="Calibri" w:hAnsi="Calibri"/>
          <w:b/>
          <w:bCs/>
          <w:color w:val="233139"/>
          <w:sz w:val="21"/>
          <w:szCs w:val="21"/>
        </w:rPr>
        <w:t xml:space="preserve">Ziel: </w:t>
      </w:r>
      <w:r>
        <w:rPr>
          <w:rFonts w:ascii="Calibri" w:cs="Calibri" w:eastAsia="Calibri" w:hAnsi="Calibri"/>
          <w:color w:val="233139"/>
          <w:sz w:val="21"/>
          <w:szCs w:val="21"/>
        </w:rPr>
        <w:t xml:space="preserve">Stigmatisierende Überzeugungen aktivierend entlarven.</w:t>
      </w:r>
    </w:p>
    <w:p>
      <w:pPr>
        <w:pStyle w:val="Heading3"/>
      </w:pPr>
      <w:r>
        <w:t xml:space="preserve">Ablauf</w:t>
      </w:r>
    </w:p>
    <w:p>
      <w:pPr>
        <w:pStyle w:val="ListParagraph"/>
        <w:numPr>
          <w:ilvl w:val="0"/>
          <w:numId w:val="1"/>
        </w:numPr>
        <w:spacing w:after="70" w:line="264"/>
      </w:pPr>
      <w:r>
        <w:rPr>
          <w:rFonts w:ascii="Calibri" w:cs="Calibri" w:eastAsia="Calibri" w:hAnsi="Calibri"/>
          <w:color w:val="233139"/>
          <w:sz w:val="21"/>
          <w:szCs w:val="21"/>
        </w:rPr>
        <w:t xml:space="preserve">Interaktiv einsteigen (Folie 33): Bei jeder Aussage die Gruppe erst abstimmen lassen – Daumen hoch (Wahrheit) / runter (Mythos) oder „Ecken im Raum“.</w:t>
      </w:r>
    </w:p>
    <w:p>
      <w:pPr>
        <w:pStyle w:val="ListParagraph"/>
        <w:numPr>
          <w:ilvl w:val="0"/>
          <w:numId w:val="1"/>
        </w:numPr>
        <w:spacing w:after="70" w:line="264"/>
      </w:pPr>
      <w:r>
        <w:rPr>
          <w:rFonts w:ascii="Calibri" w:cs="Calibri" w:eastAsia="Calibri" w:hAnsi="Calibri"/>
          <w:color w:val="233139"/>
          <w:sz w:val="21"/>
          <w:szCs w:val="21"/>
        </w:rPr>
        <w:t xml:space="preserve">Dann auflösen (Folie 34): Alle vier Aussagen sind Mythen. Der dritte („sieht man doch“) schließt an den Workshop-Titel an.</w:t>
      </w:r>
    </w:p>
    <w:p>
      <w:pPr>
        <w:pStyle w:val="ListParagraph"/>
        <w:numPr>
          <w:ilvl w:val="0"/>
          <w:numId w:val="1"/>
        </w:numPr>
        <w:spacing w:after="70" w:line="264"/>
      </w:pPr>
      <w:r>
        <w:rPr>
          <w:rFonts w:ascii="Calibri" w:cs="Calibri" w:eastAsia="Calibri" w:hAnsi="Calibri"/>
          <w:color w:val="233139"/>
          <w:sz w:val="21"/>
          <w:szCs w:val="21"/>
        </w:rPr>
        <w:t xml:space="preserve">Diskussion moderieren mit den Fragen aus Kapitel 8.</w:t>
      </w:r>
    </w:p>
    <w:p>
      <w:pPr>
        <w:pStyle w:val="Heading2"/>
      </w:pPr>
      <w:r>
        <w:t xml:space="preserve">Modul 6 · Hilfe &amp; Hoffnung — 20 Min. (Folien 35–36)</w:t>
      </w:r>
    </w:p>
    <w:p>
      <w:pPr>
        <w:spacing w:after="120" w:before="0" w:line="276"/>
      </w:pPr>
      <w:r>
        <w:rPr>
          <w:rFonts w:ascii="Calibri" w:cs="Calibri" w:eastAsia="Calibri" w:hAnsi="Calibri"/>
          <w:b/>
          <w:bCs/>
          <w:color w:val="233139"/>
          <w:sz w:val="21"/>
          <w:szCs w:val="21"/>
        </w:rPr>
        <w:t xml:space="preserve">Ziel: </w:t>
      </w:r>
      <w:r>
        <w:rPr>
          <w:rFonts w:ascii="Calibri" w:cs="Calibri" w:eastAsia="Calibri" w:hAnsi="Calibri"/>
          <w:color w:val="233139"/>
          <w:sz w:val="21"/>
          <w:szCs w:val="21"/>
        </w:rPr>
        <w:t xml:space="preserve">Zeigen, dass Behandlung wirkt und Besserung möglich ist – der Hoffnungspol.</w:t>
      </w:r>
    </w:p>
    <w:p>
      <w:pPr>
        <w:pStyle w:val="ListParagraph"/>
        <w:numPr>
          <w:ilvl w:val="0"/>
          <w:numId w:val="1"/>
        </w:numPr>
        <w:spacing w:after="70" w:line="264"/>
      </w:pPr>
      <w:r>
        <w:rPr>
          <w:rFonts w:ascii="Calibri" w:cs="Calibri" w:eastAsia="Calibri" w:hAnsi="Calibri"/>
          <w:b/>
          <w:bCs/>
          <w:color w:val="233139"/>
          <w:sz w:val="21"/>
          <w:szCs w:val="21"/>
        </w:rPr>
        <w:t xml:space="preserve">Behandlungswege (35): </w:t>
      </w:r>
      <w:r>
        <w:rPr>
          <w:rFonts w:ascii="Calibri" w:cs="Calibri" w:eastAsia="Calibri" w:hAnsi="Calibri"/>
          <w:color w:val="233139"/>
          <w:sz w:val="21"/>
          <w:szCs w:val="21"/>
        </w:rPr>
        <w:t xml:space="preserve">Therapie, Medikamente, Selbsthilfe, Alltagsstruktur. Medikamente entstigmatisieren („so wenig Schwäche wie eine Insulinspritze“). Kombination wirkt am besten.</w:t>
      </w:r>
    </w:p>
    <w:p>
      <w:pPr>
        <w:pStyle w:val="ListParagraph"/>
        <w:numPr>
          <w:ilvl w:val="0"/>
          <w:numId w:val="1"/>
        </w:numPr>
        <w:spacing w:after="70" w:line="264"/>
      </w:pPr>
      <w:r>
        <w:rPr>
          <w:rFonts w:ascii="Calibri" w:cs="Calibri" w:eastAsia="Calibri" w:hAnsi="Calibri"/>
          <w:b/>
          <w:bCs/>
          <w:color w:val="233139"/>
          <w:sz w:val="21"/>
          <w:szCs w:val="21"/>
        </w:rPr>
        <w:t xml:space="preserve">Hoffnung (36): </w:t>
      </w:r>
      <w:r>
        <w:rPr>
          <w:rFonts w:ascii="Calibri" w:cs="Calibri" w:eastAsia="Calibri" w:hAnsi="Calibri"/>
          <w:color w:val="233139"/>
          <w:sz w:val="21"/>
          <w:szCs w:val="21"/>
        </w:rPr>
        <w:t xml:space="preserve">Ihre persönliche Botschaft – der stärkste Beweis des Tages. Enden Sie mit einem Satz zum Mitnehmen.</w:t>
      </w:r>
    </w:p>
    <w:p>
      <w:pPr>
        <w:pStyle w:val="Heading2"/>
      </w:pPr>
      <w:r>
        <w:t xml:space="preserve">Abschluss — 10 Min.+ (Folien 37–39)</w:t>
      </w:r>
    </w:p>
    <w:p>
      <w:pPr>
        <w:pStyle w:val="ListParagraph"/>
        <w:numPr>
          <w:ilvl w:val="0"/>
          <w:numId w:val="1"/>
        </w:numPr>
        <w:spacing w:after="70" w:line="264"/>
      </w:pPr>
      <w:r>
        <w:rPr>
          <w:rFonts w:ascii="Calibri" w:cs="Calibri" w:eastAsia="Calibri" w:hAnsi="Calibri"/>
          <w:b/>
          <w:bCs/>
          <w:color w:val="233139"/>
          <w:sz w:val="21"/>
          <w:szCs w:val="21"/>
        </w:rPr>
        <w:t xml:space="preserve">Erkenntnisse (37): </w:t>
      </w:r>
      <w:r>
        <w:rPr>
          <w:rFonts w:ascii="Calibri" w:cs="Calibri" w:eastAsia="Calibri" w:hAnsi="Calibri"/>
          <w:color w:val="233139"/>
          <w:sz w:val="21"/>
          <w:szCs w:val="21"/>
        </w:rPr>
        <w:t xml:space="preserve">Vier Kernbotschaften. Zurück zur Erwartungs-Pinnwand: eingelöst?</w:t>
      </w:r>
    </w:p>
    <w:p>
      <w:pPr>
        <w:pStyle w:val="ListParagraph"/>
        <w:numPr>
          <w:ilvl w:val="0"/>
          <w:numId w:val="1"/>
        </w:numPr>
        <w:spacing w:after="70" w:line="264"/>
      </w:pPr>
      <w:r>
        <w:rPr>
          <w:rFonts w:ascii="Calibri" w:cs="Calibri" w:eastAsia="Calibri" w:hAnsi="Calibri"/>
          <w:b/>
          <w:bCs/>
          <w:color w:val="233139"/>
          <w:sz w:val="21"/>
          <w:szCs w:val="21"/>
        </w:rPr>
        <w:t xml:space="preserve">Fragerunde: </w:t>
      </w:r>
      <w:r>
        <w:rPr>
          <w:rFonts w:ascii="Calibri" w:cs="Calibri" w:eastAsia="Calibri" w:hAnsi="Calibri"/>
          <w:color w:val="233139"/>
          <w:sz w:val="21"/>
          <w:szCs w:val="21"/>
        </w:rPr>
        <w:t xml:space="preserve">Offene Fragen zulassen, Stille aushalten.</w:t>
      </w:r>
    </w:p>
    <w:p>
      <w:pPr>
        <w:pStyle w:val="ListParagraph"/>
        <w:numPr>
          <w:ilvl w:val="0"/>
          <w:numId w:val="1"/>
        </w:numPr>
        <w:spacing w:after="70" w:line="264"/>
      </w:pPr>
      <w:r>
        <w:rPr>
          <w:rFonts w:ascii="Calibri" w:cs="Calibri" w:eastAsia="Calibri" w:hAnsi="Calibri"/>
          <w:b/>
          <w:bCs/>
          <w:color w:val="233139"/>
          <w:sz w:val="21"/>
          <w:szCs w:val="21"/>
        </w:rPr>
        <w:t xml:space="preserve">Anlaufstellen (38): </w:t>
      </w:r>
      <w:r>
        <w:rPr>
          <w:rFonts w:ascii="Calibri" w:cs="Calibri" w:eastAsia="Calibri" w:hAnsi="Calibri"/>
          <w:color w:val="233139"/>
          <w:sz w:val="21"/>
          <w:szCs w:val="21"/>
        </w:rPr>
        <w:t xml:space="preserve">Handout austeilen. „Nehmen Sie es mit – für sich oder für jemanden, an den Sie heute gedacht haben.“</w:t>
      </w:r>
    </w:p>
    <w:p>
      <w:pPr>
        <w:pStyle w:val="ListParagraph"/>
        <w:numPr>
          <w:ilvl w:val="0"/>
          <w:numId w:val="1"/>
        </w:numPr>
        <w:spacing w:after="70" w:line="264"/>
      </w:pPr>
      <w:r>
        <w:rPr>
          <w:rFonts w:ascii="Calibri" w:cs="Calibri" w:eastAsia="Calibri" w:hAnsi="Calibri"/>
          <w:b/>
          <w:bCs/>
          <w:color w:val="233139"/>
          <w:sz w:val="21"/>
          <w:szCs w:val="21"/>
        </w:rPr>
        <w:t xml:space="preserve">Abschluss (39): </w:t>
      </w:r>
      <w:r>
        <w:rPr>
          <w:rFonts w:ascii="Calibri" w:cs="Calibri" w:eastAsia="Calibri" w:hAnsi="Calibri"/>
          <w:color w:val="233139"/>
          <w:sz w:val="21"/>
          <w:szCs w:val="21"/>
        </w:rPr>
        <w:t xml:space="preserve">Warm enden, Reflexionsbogen austeilen, optionales Blitzlicht „Ein Wort, das Sie mitnehmen“.</w:t>
      </w:r>
    </w:p>
    <w:p>
      <w:r>
        <w:br w:type="page"/>
      </w:r>
    </w:p>
    <w:p>
      <w:pPr>
        <w:pStyle w:val="Heading1"/>
      </w:pPr>
      <w:r>
        <w:t xml:space="preserve">7  Die Übungen im Detail</w:t>
      </w:r>
    </w:p>
    <w:p>
      <w:pPr>
        <w:spacing w:after="120" w:before="0" w:line="276"/>
      </w:pPr>
      <w:r>
        <w:rPr>
          <w:rFonts w:ascii="Calibri" w:cs="Calibri" w:eastAsia="Calibri" w:hAnsi="Calibri"/>
          <w:color w:val="233139"/>
          <w:sz w:val="21"/>
          <w:szCs w:val="21"/>
        </w:rPr>
        <w:t xml:space="preserve">Sieben Übungen, die den Workshop vom Vortrag zum Erlebnis machen. Zu jeder: Ziel, Dauer, Material, Ablauf und Auswertungsfragen. Kopiervorlagen liegen im Dokument „Arbeitsblätter &amp; Kopiervorlagen“.</w:t>
      </w:r>
    </w:p>
    <w:p>
      <w:pPr>
        <w:pStyle w:val="Heading2"/>
      </w:pPr>
      <w:r>
        <w:t xml:space="preserve">Übung 1: Mythos oder Wahrheit?</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500"/>
        <w:gridCol w:w="7860"/>
      </w:tblGrid>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Ziel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Stigmatisierende Überzeugungen aufdecken; ins Gespräch kommen.</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Dauer</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ca. 15 Min. (in Modul 5)</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Material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Karten „Mythos oder Wahrheit?“ (Kopiervorlage), oder mündlich mit Handzeichen.</w:t>
            </w:r>
          </w:p>
        </w:tc>
      </w:tr>
    </w:tbl>
    <w:p>
      <w:pPr>
        <w:spacing w:after="60" w:before="80"/>
      </w:pPr>
      <w:r>
        <w:rPr>
          <w:rFonts w:ascii="Cambria" w:cs="Cambria" w:eastAsia="Cambria" w:hAnsi="Cambria"/>
          <w:b/>
          <w:bCs/>
          <w:color w:val="B9793B"/>
          <w:sz w:val="21"/>
          <w:szCs w:val="21"/>
        </w:rPr>
        <w:t xml:space="preserve">Ablauf</w:t>
      </w:r>
    </w:p>
    <w:p>
      <w:pPr>
        <w:pStyle w:val="ListParagraph"/>
        <w:numPr>
          <w:ilvl w:val="0"/>
          <w:numId w:val="1"/>
        </w:numPr>
        <w:spacing w:after="70" w:line="264"/>
      </w:pPr>
      <w:r>
        <w:rPr>
          <w:rFonts w:ascii="Calibri" w:cs="Calibri" w:eastAsia="Calibri" w:hAnsi="Calibri"/>
          <w:color w:val="233139"/>
          <w:sz w:val="21"/>
          <w:szCs w:val="21"/>
        </w:rPr>
        <w:t xml:space="preserve">Sie lesen eine Aussage vor (z. B. „Depression ist Faulheit“).</w:t>
      </w:r>
    </w:p>
    <w:p>
      <w:pPr>
        <w:pStyle w:val="ListParagraph"/>
        <w:numPr>
          <w:ilvl w:val="0"/>
          <w:numId w:val="1"/>
        </w:numPr>
        <w:spacing w:after="70" w:line="264"/>
      </w:pPr>
      <w:r>
        <w:rPr>
          <w:rFonts w:ascii="Calibri" w:cs="Calibri" w:eastAsia="Calibri" w:hAnsi="Calibri"/>
          <w:color w:val="233139"/>
          <w:sz w:val="21"/>
          <w:szCs w:val="21"/>
        </w:rPr>
        <w:t xml:space="preserve">Die Gruppe stimmt ab: Daumen hoch = Wahrheit, Daumen runter = Mythos. Alternativ „Ecken im Raum“ (eine Ecke = Mythos, andere = Wahrheit).</w:t>
      </w:r>
    </w:p>
    <w:p>
      <w:pPr>
        <w:pStyle w:val="ListParagraph"/>
        <w:numPr>
          <w:ilvl w:val="0"/>
          <w:numId w:val="1"/>
        </w:numPr>
        <w:spacing w:after="70" w:line="264"/>
      </w:pPr>
      <w:r>
        <w:rPr>
          <w:rFonts w:ascii="Calibri" w:cs="Calibri" w:eastAsia="Calibri" w:hAnsi="Calibri"/>
          <w:color w:val="233139"/>
          <w:sz w:val="21"/>
          <w:szCs w:val="21"/>
        </w:rPr>
        <w:t xml:space="preserve">Kurz nachfragen: „Warum haben Sie so entschieden?“</w:t>
      </w:r>
    </w:p>
    <w:p>
      <w:pPr>
        <w:pStyle w:val="ListParagraph"/>
        <w:numPr>
          <w:ilvl w:val="0"/>
          <w:numId w:val="1"/>
        </w:numPr>
        <w:spacing w:after="70" w:line="264"/>
      </w:pPr>
      <w:r>
        <w:rPr>
          <w:rFonts w:ascii="Calibri" w:cs="Calibri" w:eastAsia="Calibri" w:hAnsi="Calibri"/>
          <w:color w:val="233139"/>
          <w:sz w:val="21"/>
          <w:szCs w:val="21"/>
        </w:rPr>
        <w:t xml:space="preserve">Auflösen und den Fakt dagegensetzen (Folie 34).</w:t>
      </w:r>
    </w:p>
    <w:p>
      <w:pPr>
        <w:spacing w:after="60" w:before="80"/>
      </w:pPr>
      <w:r>
        <w:rPr>
          <w:rFonts w:ascii="Cambria" w:cs="Cambria" w:eastAsia="Cambria" w:hAnsi="Cambria"/>
          <w:b/>
          <w:bCs/>
          <w:color w:val="B9793B"/>
          <w:sz w:val="21"/>
          <w:szCs w:val="21"/>
        </w:rPr>
        <w:t xml:space="preserve">Auswertung / Reflexion</w:t>
      </w:r>
    </w:p>
    <w:p>
      <w:pPr>
        <w:pStyle w:val="ListParagraph"/>
        <w:numPr>
          <w:ilvl w:val="0"/>
          <w:numId w:val="1"/>
        </w:numPr>
        <w:spacing w:after="70" w:line="264"/>
      </w:pPr>
      <w:r>
        <w:rPr>
          <w:rFonts w:ascii="Calibri" w:cs="Calibri" w:eastAsia="Calibri" w:hAnsi="Calibri"/>
          <w:color w:val="233139"/>
          <w:sz w:val="21"/>
          <w:szCs w:val="21"/>
        </w:rPr>
        <w:t xml:space="preserve">Welche Aussage hat am meisten überrascht?</w:t>
      </w:r>
    </w:p>
    <w:p>
      <w:pPr>
        <w:pStyle w:val="ListParagraph"/>
        <w:numPr>
          <w:ilvl w:val="0"/>
          <w:numId w:val="1"/>
        </w:numPr>
        <w:spacing w:after="70" w:line="264"/>
      </w:pPr>
      <w:r>
        <w:rPr>
          <w:rFonts w:ascii="Calibri" w:cs="Calibri" w:eastAsia="Calibri" w:hAnsi="Calibri"/>
          <w:color w:val="233139"/>
          <w:sz w:val="21"/>
          <w:szCs w:val="21"/>
        </w:rPr>
        <w:t xml:space="preserve">Woher kommen solche Überzeugungen (Erziehung, Medien, Sprüche)?</w:t>
      </w:r>
    </w:p>
    <w:p>
      <w:pPr>
        <w:pStyle w:val="ListParagraph"/>
        <w:numPr>
          <w:ilvl w:val="0"/>
          <w:numId w:val="1"/>
        </w:numPr>
        <w:spacing w:after="70" w:line="264"/>
      </w:pPr>
      <w:r>
        <w:rPr>
          <w:rFonts w:ascii="Calibri" w:cs="Calibri" w:eastAsia="Calibri" w:hAnsi="Calibri"/>
          <w:color w:val="233139"/>
          <w:sz w:val="21"/>
          <w:szCs w:val="21"/>
        </w:rPr>
        <w:t xml:space="preserve">Wie könnten wir solchen Sätzen im Alltag begegnen?</w:t>
      </w: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Moderationstipp</w:t>
            </w:r>
          </w:p>
          <w:p>
            <w:pPr>
              <w:spacing w:after="0" w:before="0" w:line="276"/>
            </w:pPr>
            <w:r>
              <w:rPr>
                <w:rFonts w:ascii="Calibri" w:cs="Calibri" w:eastAsia="Calibri" w:hAnsi="Calibri"/>
                <w:color w:val="233139"/>
                <w:sz w:val="21"/>
                <w:szCs w:val="21"/>
              </w:rPr>
              <w:t xml:space="preserve">Kein Test, keine Blamage. Es geht um die Erkenntnis, wie tief solche Sätze sitzen – auch bei uns selbst.</w:t>
            </w:r>
          </w:p>
        </w:tc>
      </w:tr>
    </w:tbl>
    <w:p>
      <w:pPr>
        <w:pStyle w:val="Heading2"/>
      </w:pPr>
      <w:r>
        <w:t xml:space="preserve">Übung 2: Perspektivwechsel: „Ein Tag mit Depression“</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500"/>
        <w:gridCol w:w="7860"/>
      </w:tblGrid>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Ziel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Depression von innen erleben; Empathie durch Perspektivübernahme.</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Dauer</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ca. 15 Min. (in Modul 3, Folie 24)</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Material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Kopiervorlage „Ein Tag mit Depression“, Stifte, ggf. leise Musik.</w:t>
            </w:r>
          </w:p>
        </w:tc>
      </w:tr>
    </w:tbl>
    <w:p>
      <w:pPr>
        <w:spacing w:after="60" w:before="80"/>
      </w:pPr>
      <w:r>
        <w:rPr>
          <w:rFonts w:ascii="Cambria" w:cs="Cambria" w:eastAsia="Cambria" w:hAnsi="Cambria"/>
          <w:b/>
          <w:bCs/>
          <w:color w:val="B9793B"/>
          <w:sz w:val="21"/>
          <w:szCs w:val="21"/>
        </w:rPr>
        <w:t xml:space="preserve">Ablauf</w:t>
      </w:r>
    </w:p>
    <w:p>
      <w:pPr>
        <w:pStyle w:val="ListParagraph"/>
        <w:numPr>
          <w:ilvl w:val="0"/>
          <w:numId w:val="1"/>
        </w:numPr>
        <w:spacing w:after="70" w:line="264"/>
      </w:pPr>
      <w:r>
        <w:rPr>
          <w:rFonts w:ascii="Calibri" w:cs="Calibri" w:eastAsia="Calibri" w:hAnsi="Calibri"/>
          <w:color w:val="233139"/>
          <w:sz w:val="21"/>
          <w:szCs w:val="21"/>
        </w:rPr>
        <w:t xml:space="preserve">Jede/r bekommt die Perspektivkarte und liest den Tagesablauf still.</w:t>
      </w:r>
    </w:p>
    <w:p>
      <w:pPr>
        <w:pStyle w:val="ListParagraph"/>
        <w:numPr>
          <w:ilvl w:val="0"/>
          <w:numId w:val="1"/>
        </w:numPr>
        <w:spacing w:after="70" w:line="264"/>
      </w:pPr>
      <w:r>
        <w:rPr>
          <w:rFonts w:ascii="Calibri" w:cs="Calibri" w:eastAsia="Calibri" w:hAnsi="Calibri"/>
          <w:color w:val="233139"/>
          <w:sz w:val="21"/>
          <w:szCs w:val="21"/>
        </w:rPr>
        <w:t xml:space="preserve">Grundregel: Jede Aufgabe kostet „+15 kg“ – wie mit dem unsichtbaren Rucksack.</w:t>
      </w:r>
    </w:p>
    <w:p>
      <w:pPr>
        <w:pStyle w:val="ListParagraph"/>
        <w:numPr>
          <w:ilvl w:val="0"/>
          <w:numId w:val="1"/>
        </w:numPr>
        <w:spacing w:after="70" w:line="264"/>
      </w:pPr>
      <w:r>
        <w:rPr>
          <w:rFonts w:ascii="Calibri" w:cs="Calibri" w:eastAsia="Calibri" w:hAnsi="Calibri"/>
          <w:color w:val="233139"/>
          <w:sz w:val="21"/>
          <w:szCs w:val="21"/>
        </w:rPr>
        <w:t xml:space="preserve">Markieren: Was hätte ich heute so nicht geschafft? Wo hätte ich Verständnis gebraucht?</w:t>
      </w:r>
    </w:p>
    <w:p>
      <w:pPr>
        <w:pStyle w:val="ListParagraph"/>
        <w:numPr>
          <w:ilvl w:val="0"/>
          <w:numId w:val="1"/>
        </w:numPr>
        <w:spacing w:after="70" w:line="264"/>
      </w:pPr>
      <w:r>
        <w:rPr>
          <w:rFonts w:ascii="Calibri" w:cs="Calibri" w:eastAsia="Calibri" w:hAnsi="Calibri"/>
          <w:color w:val="233139"/>
          <w:sz w:val="21"/>
          <w:szCs w:val="21"/>
        </w:rPr>
        <w:t xml:space="preserve">Kurzer Austausch zu zweit, dann Blitzlicht im Plenum (ein Satz pro Person, freiwillig).</w:t>
      </w:r>
    </w:p>
    <w:p>
      <w:pPr>
        <w:spacing w:after="60" w:before="80"/>
      </w:pPr>
      <w:r>
        <w:rPr>
          <w:rFonts w:ascii="Cambria" w:cs="Cambria" w:eastAsia="Cambria" w:hAnsi="Cambria"/>
          <w:b/>
          <w:bCs/>
          <w:color w:val="B9793B"/>
          <w:sz w:val="21"/>
          <w:szCs w:val="21"/>
        </w:rPr>
        <w:t xml:space="preserve">Auswertung / Reflexion</w:t>
      </w:r>
    </w:p>
    <w:p>
      <w:pPr>
        <w:pStyle w:val="ListParagraph"/>
        <w:numPr>
          <w:ilvl w:val="0"/>
          <w:numId w:val="1"/>
        </w:numPr>
        <w:spacing w:after="70" w:line="264"/>
      </w:pPr>
      <w:r>
        <w:rPr>
          <w:rFonts w:ascii="Calibri" w:cs="Calibri" w:eastAsia="Calibri" w:hAnsi="Calibri"/>
          <w:color w:val="233139"/>
          <w:sz w:val="21"/>
          <w:szCs w:val="21"/>
        </w:rPr>
        <w:t xml:space="preserve">Was hat sich verändert, als jede Kleinigkeit schwer wurde?</w:t>
      </w:r>
    </w:p>
    <w:p>
      <w:pPr>
        <w:pStyle w:val="ListParagraph"/>
        <w:numPr>
          <w:ilvl w:val="0"/>
          <w:numId w:val="1"/>
        </w:numPr>
        <w:spacing w:after="70" w:line="264"/>
      </w:pPr>
      <w:r>
        <w:rPr>
          <w:rFonts w:ascii="Calibri" w:cs="Calibri" w:eastAsia="Calibri" w:hAnsi="Calibri"/>
          <w:color w:val="233139"/>
          <w:sz w:val="21"/>
          <w:szCs w:val="21"/>
        </w:rPr>
        <w:t xml:space="preserve">Wie hätten andere reagiert – und wie hätte ich mir Reaktion gewünscht?</w:t>
      </w:r>
    </w:p>
    <w:p>
      <w:pPr>
        <w:pStyle w:val="ListParagraph"/>
        <w:numPr>
          <w:ilvl w:val="0"/>
          <w:numId w:val="1"/>
        </w:numPr>
        <w:spacing w:after="70" w:line="264"/>
      </w:pPr>
      <w:r>
        <w:rPr>
          <w:rFonts w:ascii="Calibri" w:cs="Calibri" w:eastAsia="Calibri" w:hAnsi="Calibri"/>
          <w:color w:val="233139"/>
          <w:sz w:val="21"/>
          <w:szCs w:val="21"/>
        </w:rPr>
        <w:t xml:space="preserve">Was heißt das für meinen Blick auf „unzuverlässige“ Menschen?</w:t>
      </w: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Moderationstipp</w:t>
            </w:r>
          </w:p>
          <w:p>
            <w:pPr>
              <w:spacing w:after="0" w:before="0" w:line="276"/>
            </w:pPr>
            <w:r>
              <w:rPr>
                <w:rFonts w:ascii="Calibri" w:cs="Calibri" w:eastAsia="Calibri" w:hAnsi="Calibri"/>
                <w:color w:val="233139"/>
                <w:sz w:val="21"/>
                <w:szCs w:val="21"/>
              </w:rPr>
              <w:t xml:space="preserve">Nicht zerreden. Ein, zwei ehrliche Stimmen wirken stärker als eine lange Runde.</w:t>
            </w:r>
          </w:p>
        </w:tc>
      </w:tr>
    </w:tbl>
    <w:p>
      <w:pPr>
        <w:pStyle w:val="Heading2"/>
      </w:pPr>
      <w:r>
        <w:t xml:space="preserve">Übung 3: Rollenspiel: Das schwierige Gespräch</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500"/>
        <w:gridCol w:w="7860"/>
      </w:tblGrid>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Ziel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Do’s, hilfreiche Sprache und aktives Zuhören praktisch erproben.</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Dauer</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ca. 20 Min. (in Modul 4, Folie 32)</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Material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Situationskarten + Beobachtungsbogen (Kopiervorlagen).</w:t>
            </w:r>
          </w:p>
        </w:tc>
      </w:tr>
    </w:tbl>
    <w:p>
      <w:pPr>
        <w:spacing w:after="60" w:before="80"/>
      </w:pPr>
      <w:r>
        <w:rPr>
          <w:rFonts w:ascii="Cambria" w:cs="Cambria" w:eastAsia="Cambria" w:hAnsi="Cambria"/>
          <w:b/>
          <w:bCs/>
          <w:color w:val="B9793B"/>
          <w:sz w:val="21"/>
          <w:szCs w:val="21"/>
        </w:rPr>
        <w:t xml:space="preserve">Ablauf</w:t>
      </w:r>
    </w:p>
    <w:p>
      <w:pPr>
        <w:pStyle w:val="ListParagraph"/>
        <w:numPr>
          <w:ilvl w:val="0"/>
          <w:numId w:val="1"/>
        </w:numPr>
        <w:spacing w:after="70" w:line="264"/>
      </w:pPr>
      <w:r>
        <w:rPr>
          <w:rFonts w:ascii="Calibri" w:cs="Calibri" w:eastAsia="Calibri" w:hAnsi="Calibri"/>
          <w:color w:val="233139"/>
          <w:sz w:val="21"/>
          <w:szCs w:val="21"/>
        </w:rPr>
        <w:t xml:space="preserve">Dreiergruppen bilden. Rollen: A = betroffen, B = Gegenüber (Freund/Kollege), C = Beobachter.</w:t>
      </w:r>
    </w:p>
    <w:p>
      <w:pPr>
        <w:pStyle w:val="ListParagraph"/>
        <w:numPr>
          <w:ilvl w:val="0"/>
          <w:numId w:val="1"/>
        </w:numPr>
        <w:spacing w:after="70" w:line="264"/>
      </w:pPr>
      <w:r>
        <w:rPr>
          <w:rFonts w:ascii="Calibri" w:cs="Calibri" w:eastAsia="Calibri" w:hAnsi="Calibri"/>
          <w:color w:val="233139"/>
          <w:sz w:val="21"/>
          <w:szCs w:val="21"/>
        </w:rPr>
        <w:t xml:space="preserve">Eine Situationskarte ziehen (z. B. „Kollegin wirkt seit Wochen erschöpft und zieht sich zurück“).</w:t>
      </w:r>
    </w:p>
    <w:p>
      <w:pPr>
        <w:pStyle w:val="ListParagraph"/>
        <w:numPr>
          <w:ilvl w:val="0"/>
          <w:numId w:val="1"/>
        </w:numPr>
        <w:spacing w:after="70" w:line="264"/>
      </w:pPr>
      <w:r>
        <w:rPr>
          <w:rFonts w:ascii="Calibri" w:cs="Calibri" w:eastAsia="Calibri" w:hAnsi="Calibri"/>
          <w:color w:val="233139"/>
          <w:sz w:val="21"/>
          <w:szCs w:val="21"/>
        </w:rPr>
        <w:t xml:space="preserve">5 Minuten spielen. C beobachtet mit dem Bogen (Sprache, Zuhören, Körperhaltung).</w:t>
      </w:r>
    </w:p>
    <w:p>
      <w:pPr>
        <w:pStyle w:val="ListParagraph"/>
        <w:numPr>
          <w:ilvl w:val="0"/>
          <w:numId w:val="1"/>
        </w:numPr>
        <w:spacing w:after="70" w:line="264"/>
      </w:pPr>
      <w:r>
        <w:rPr>
          <w:rFonts w:ascii="Calibri" w:cs="Calibri" w:eastAsia="Calibri" w:hAnsi="Calibri"/>
          <w:color w:val="233139"/>
          <w:sz w:val="21"/>
          <w:szCs w:val="21"/>
        </w:rPr>
        <w:t xml:space="preserve">3 Minuten auswerten in der Gruppe, dann Rollen tauschen.</w:t>
      </w:r>
    </w:p>
    <w:p>
      <w:pPr>
        <w:pStyle w:val="ListParagraph"/>
        <w:numPr>
          <w:ilvl w:val="0"/>
          <w:numId w:val="1"/>
        </w:numPr>
        <w:spacing w:after="70" w:line="264"/>
      </w:pPr>
      <w:r>
        <w:rPr>
          <w:rFonts w:ascii="Calibri" w:cs="Calibri" w:eastAsia="Calibri" w:hAnsi="Calibri"/>
          <w:color w:val="233139"/>
          <w:sz w:val="21"/>
          <w:szCs w:val="21"/>
        </w:rPr>
        <w:t xml:space="preserve">Gemeinsames Plenum: Beobachter zuerst zu Wort kommen lassen.</w:t>
      </w:r>
    </w:p>
    <w:p>
      <w:pPr>
        <w:spacing w:after="60" w:before="80"/>
      </w:pPr>
      <w:r>
        <w:rPr>
          <w:rFonts w:ascii="Cambria" w:cs="Cambria" w:eastAsia="Cambria" w:hAnsi="Cambria"/>
          <w:b/>
          <w:bCs/>
          <w:color w:val="B9793B"/>
          <w:sz w:val="21"/>
          <w:szCs w:val="21"/>
        </w:rPr>
        <w:t xml:space="preserve">Auswertung / Reflexion</w:t>
      </w:r>
    </w:p>
    <w:p>
      <w:pPr>
        <w:pStyle w:val="ListParagraph"/>
        <w:numPr>
          <w:ilvl w:val="0"/>
          <w:numId w:val="1"/>
        </w:numPr>
        <w:spacing w:after="70" w:line="264"/>
      </w:pPr>
      <w:r>
        <w:rPr>
          <w:rFonts w:ascii="Calibri" w:cs="Calibri" w:eastAsia="Calibri" w:hAnsi="Calibri"/>
          <w:color w:val="233139"/>
          <w:sz w:val="21"/>
          <w:szCs w:val="21"/>
        </w:rPr>
        <w:t xml:space="preserve">Was hat sich für „A“ gut angefühlt – was nicht?</w:t>
      </w:r>
    </w:p>
    <w:p>
      <w:pPr>
        <w:pStyle w:val="ListParagraph"/>
        <w:numPr>
          <w:ilvl w:val="0"/>
          <w:numId w:val="1"/>
        </w:numPr>
        <w:spacing w:after="70" w:line="264"/>
      </w:pPr>
      <w:r>
        <w:rPr>
          <w:rFonts w:ascii="Calibri" w:cs="Calibri" w:eastAsia="Calibri" w:hAnsi="Calibri"/>
          <w:color w:val="233139"/>
          <w:sz w:val="21"/>
          <w:szCs w:val="21"/>
        </w:rPr>
        <w:t xml:space="preserve">Welcher Satz hat das Gespräch geöffnet, welcher verschlossen?</w:t>
      </w:r>
    </w:p>
    <w:p>
      <w:pPr>
        <w:pStyle w:val="ListParagraph"/>
        <w:numPr>
          <w:ilvl w:val="0"/>
          <w:numId w:val="1"/>
        </w:numPr>
        <w:spacing w:after="70" w:line="264"/>
      </w:pPr>
      <w:r>
        <w:rPr>
          <w:rFonts w:ascii="Calibri" w:cs="Calibri" w:eastAsia="Calibri" w:hAnsi="Calibri"/>
          <w:color w:val="233139"/>
          <w:sz w:val="21"/>
          <w:szCs w:val="21"/>
        </w:rPr>
        <w:t xml:space="preserve">Was nehme ich für ein echtes Gespräch mit?</w:t>
      </w: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Moderationstipp</w:t>
            </w:r>
          </w:p>
          <w:p>
            <w:pPr>
              <w:spacing w:after="0" w:before="0" w:line="276"/>
            </w:pPr>
            <w:r>
              <w:rPr>
                <w:rFonts w:ascii="Calibri" w:cs="Calibri" w:eastAsia="Calibri" w:hAnsi="Calibri"/>
                <w:color w:val="233139"/>
                <w:sz w:val="21"/>
                <w:szCs w:val="21"/>
              </w:rPr>
              <w:t xml:space="preserve">Niemand muss echtes eigenes Leid nachspielen. Wer nicht „A“ sein möchte, tauscht. Klar timen und die Achtsamkeitsregeln erinnern.</w:t>
            </w:r>
          </w:p>
        </w:tc>
      </w:tr>
    </w:tbl>
    <w:p>
      <w:pPr>
        <w:pStyle w:val="Heading2"/>
      </w:pPr>
      <w:r>
        <w:t xml:space="preserve">Übung 4: Fallbeispiele in Kleingruppen</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500"/>
        <w:gridCol w:w="7860"/>
      </w:tblGrid>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Ziel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Gelerntes auf realistische Situationen anwenden; gemeinsam Handlungsoptionen finden.</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Dauer</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ca. 20 Min. (optional, Modul 4 oder als Vertiefung)</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Material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Fallbeispiel-Karten (Kopiervorlage, 3–4 Fälle), Flipchart je Gruppe.</w:t>
            </w:r>
          </w:p>
        </w:tc>
      </w:tr>
    </w:tbl>
    <w:p>
      <w:pPr>
        <w:spacing w:after="60" w:before="80"/>
      </w:pPr>
      <w:r>
        <w:rPr>
          <w:rFonts w:ascii="Cambria" w:cs="Cambria" w:eastAsia="Cambria" w:hAnsi="Cambria"/>
          <w:b/>
          <w:bCs/>
          <w:color w:val="B9793B"/>
          <w:sz w:val="21"/>
          <w:szCs w:val="21"/>
        </w:rPr>
        <w:t xml:space="preserve">Ablauf</w:t>
      </w:r>
    </w:p>
    <w:p>
      <w:pPr>
        <w:pStyle w:val="ListParagraph"/>
        <w:numPr>
          <w:ilvl w:val="0"/>
          <w:numId w:val="1"/>
        </w:numPr>
        <w:spacing w:after="70" w:line="264"/>
      </w:pPr>
      <w:r>
        <w:rPr>
          <w:rFonts w:ascii="Calibri" w:cs="Calibri" w:eastAsia="Calibri" w:hAnsi="Calibri"/>
          <w:color w:val="233139"/>
          <w:sz w:val="21"/>
          <w:szCs w:val="21"/>
        </w:rPr>
        <w:t xml:space="preserve">Kleingruppen (3–5 Personen), je ein Fallbeispiel.</w:t>
      </w:r>
    </w:p>
    <w:p>
      <w:pPr>
        <w:pStyle w:val="ListParagraph"/>
        <w:numPr>
          <w:ilvl w:val="0"/>
          <w:numId w:val="1"/>
        </w:numPr>
        <w:spacing w:after="70" w:line="264"/>
      </w:pPr>
      <w:r>
        <w:rPr>
          <w:rFonts w:ascii="Calibri" w:cs="Calibri" w:eastAsia="Calibri" w:hAnsi="Calibri"/>
          <w:color w:val="233139"/>
          <w:sz w:val="21"/>
          <w:szCs w:val="21"/>
        </w:rPr>
        <w:t xml:space="preserve">Leitfragen bearbeiten: Was könnte hier los sein? Was hilft? Was sollte man vermeiden? Wo sind Grenzen?</w:t>
      </w:r>
    </w:p>
    <w:p>
      <w:pPr>
        <w:pStyle w:val="ListParagraph"/>
        <w:numPr>
          <w:ilvl w:val="0"/>
          <w:numId w:val="1"/>
        </w:numPr>
        <w:spacing w:after="70" w:line="264"/>
      </w:pPr>
      <w:r>
        <w:rPr>
          <w:rFonts w:ascii="Calibri" w:cs="Calibri" w:eastAsia="Calibri" w:hAnsi="Calibri"/>
          <w:color w:val="233139"/>
          <w:sz w:val="21"/>
          <w:szCs w:val="21"/>
        </w:rPr>
        <w:t xml:space="preserve">Ergebnisse auf Flipchart festhalten.</w:t>
      </w:r>
    </w:p>
    <w:p>
      <w:pPr>
        <w:pStyle w:val="ListParagraph"/>
        <w:numPr>
          <w:ilvl w:val="0"/>
          <w:numId w:val="1"/>
        </w:numPr>
        <w:spacing w:after="70" w:line="264"/>
      </w:pPr>
      <w:r>
        <w:rPr>
          <w:rFonts w:ascii="Calibri" w:cs="Calibri" w:eastAsia="Calibri" w:hAnsi="Calibri"/>
          <w:color w:val="233139"/>
          <w:sz w:val="21"/>
          <w:szCs w:val="21"/>
        </w:rPr>
        <w:t xml:space="preserve">Kurze Präsentation im Plenum (max. 2 Min. pro Gruppe).</w:t>
      </w:r>
    </w:p>
    <w:p>
      <w:pPr>
        <w:spacing w:after="60" w:before="80"/>
      </w:pPr>
      <w:r>
        <w:rPr>
          <w:rFonts w:ascii="Cambria" w:cs="Cambria" w:eastAsia="Cambria" w:hAnsi="Cambria"/>
          <w:b/>
          <w:bCs/>
          <w:color w:val="B9793B"/>
          <w:sz w:val="21"/>
          <w:szCs w:val="21"/>
        </w:rPr>
        <w:t xml:space="preserve">Auswertung / Reflexion</w:t>
      </w:r>
    </w:p>
    <w:p>
      <w:pPr>
        <w:pStyle w:val="ListParagraph"/>
        <w:numPr>
          <w:ilvl w:val="0"/>
          <w:numId w:val="1"/>
        </w:numPr>
        <w:spacing w:after="70" w:line="264"/>
      </w:pPr>
      <w:r>
        <w:rPr>
          <w:rFonts w:ascii="Calibri" w:cs="Calibri" w:eastAsia="Calibri" w:hAnsi="Calibri"/>
          <w:color w:val="233139"/>
          <w:sz w:val="21"/>
          <w:szCs w:val="21"/>
        </w:rPr>
        <w:t xml:space="preserve">Welche Handlungsoption fiel leicht, welche schwer?</w:t>
      </w:r>
    </w:p>
    <w:p>
      <w:pPr>
        <w:pStyle w:val="ListParagraph"/>
        <w:numPr>
          <w:ilvl w:val="0"/>
          <w:numId w:val="1"/>
        </w:numPr>
        <w:spacing w:after="70" w:line="264"/>
      </w:pPr>
      <w:r>
        <w:rPr>
          <w:rFonts w:ascii="Calibri" w:cs="Calibri" w:eastAsia="Calibri" w:hAnsi="Calibri"/>
          <w:color w:val="233139"/>
          <w:sz w:val="21"/>
          <w:szCs w:val="21"/>
        </w:rPr>
        <w:t xml:space="preserve">Wo war die Grenze der eigenen Hilfe erreicht?</w:t>
      </w:r>
    </w:p>
    <w:p>
      <w:pPr>
        <w:pStyle w:val="ListParagraph"/>
        <w:numPr>
          <w:ilvl w:val="0"/>
          <w:numId w:val="1"/>
        </w:numPr>
        <w:spacing w:after="70" w:line="264"/>
      </w:pPr>
      <w:r>
        <w:rPr>
          <w:rFonts w:ascii="Calibri" w:cs="Calibri" w:eastAsia="Calibri" w:hAnsi="Calibri"/>
          <w:color w:val="233139"/>
          <w:sz w:val="21"/>
          <w:szCs w:val="21"/>
        </w:rPr>
        <w:t xml:space="preserve">Was wäre der erste konkrete Schritt gewesen?</w:t>
      </w: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Moderationstipp</w:t>
            </w:r>
          </w:p>
          <w:p>
            <w:pPr>
              <w:spacing w:after="0" w:before="0" w:line="276"/>
            </w:pPr>
            <w:r>
              <w:rPr>
                <w:rFonts w:ascii="Calibri" w:cs="Calibri" w:eastAsia="Calibri" w:hAnsi="Calibri"/>
                <w:color w:val="233139"/>
                <w:sz w:val="21"/>
                <w:szCs w:val="21"/>
              </w:rPr>
              <w:t xml:space="preserve">Es gibt kein perfekt „richtiges“ Vorgehen. Ziel ist Handlungssicherheit, nicht die Musterlösung.</w:t>
            </w:r>
          </w:p>
        </w:tc>
      </w:tr>
    </w:tbl>
    <w:p>
      <w:pPr>
        <w:pStyle w:val="Heading2"/>
      </w:pPr>
      <w:r>
        <w:t xml:space="preserve">Übung 5: Körpersprache erkennen</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500"/>
        <w:gridCol w:w="7860"/>
      </w:tblGrid>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Ziel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Sensibilisieren, dass Belastung oft ohne Worte sichtbar wird – und wie leicht man sie übersieht.</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Dauer</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ca. 10–15 Min. (optional, Modul 3)</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Material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Beschreibungs-/Bildkarten oder Standbild-Anleitung (Kopiervorlage).</w:t>
            </w:r>
          </w:p>
        </w:tc>
      </w:tr>
    </w:tbl>
    <w:p>
      <w:pPr>
        <w:spacing w:after="60" w:before="80"/>
      </w:pPr>
      <w:r>
        <w:rPr>
          <w:rFonts w:ascii="Cambria" w:cs="Cambria" w:eastAsia="Cambria" w:hAnsi="Cambria"/>
          <w:b/>
          <w:bCs/>
          <w:color w:val="B9793B"/>
          <w:sz w:val="21"/>
          <w:szCs w:val="21"/>
        </w:rPr>
        <w:t xml:space="preserve">Ablauf</w:t>
      </w:r>
    </w:p>
    <w:p>
      <w:pPr>
        <w:pStyle w:val="ListParagraph"/>
        <w:numPr>
          <w:ilvl w:val="0"/>
          <w:numId w:val="1"/>
        </w:numPr>
        <w:spacing w:after="70" w:line="264"/>
      </w:pPr>
      <w:r>
        <w:rPr>
          <w:rFonts w:ascii="Calibri" w:cs="Calibri" w:eastAsia="Calibri" w:hAnsi="Calibri"/>
          <w:color w:val="233139"/>
          <w:sz w:val="21"/>
          <w:szCs w:val="21"/>
        </w:rPr>
        <w:t xml:space="preserve">Variante A (Karten): Situationsbeschreibungen mit Körpersprache vorlesen; Gruppe deutet: Was könnte die Person fühlen?</w:t>
      </w:r>
    </w:p>
    <w:p>
      <w:pPr>
        <w:pStyle w:val="ListParagraph"/>
        <w:numPr>
          <w:ilvl w:val="0"/>
          <w:numId w:val="1"/>
        </w:numPr>
        <w:spacing w:after="70" w:line="264"/>
      </w:pPr>
      <w:r>
        <w:rPr>
          <w:rFonts w:ascii="Calibri" w:cs="Calibri" w:eastAsia="Calibri" w:hAnsi="Calibri"/>
          <w:color w:val="233139"/>
          <w:sz w:val="21"/>
          <w:szCs w:val="21"/>
        </w:rPr>
        <w:t xml:space="preserve">Variante B (Standbild): Freiwillige stellen wortlos eine Haltung dar (z. B. „erschöpft, aber lächelnd“); Gruppe rät.</w:t>
      </w:r>
    </w:p>
    <w:p>
      <w:pPr>
        <w:pStyle w:val="ListParagraph"/>
        <w:numPr>
          <w:ilvl w:val="0"/>
          <w:numId w:val="1"/>
        </w:numPr>
        <w:spacing w:after="70" w:line="264"/>
      </w:pPr>
      <w:r>
        <w:rPr>
          <w:rFonts w:ascii="Calibri" w:cs="Calibri" w:eastAsia="Calibri" w:hAnsi="Calibri"/>
          <w:color w:val="233139"/>
          <w:sz w:val="21"/>
          <w:szCs w:val="21"/>
        </w:rPr>
        <w:t xml:space="preserve">Auflösen und besprechen: Welche Signale sind eindeutig, welche mehrdeutig?</w:t>
      </w:r>
    </w:p>
    <w:p>
      <w:pPr>
        <w:spacing w:after="60" w:before="80"/>
      </w:pPr>
      <w:r>
        <w:rPr>
          <w:rFonts w:ascii="Cambria" w:cs="Cambria" w:eastAsia="Cambria" w:hAnsi="Cambria"/>
          <w:b/>
          <w:bCs/>
          <w:color w:val="B9793B"/>
          <w:sz w:val="21"/>
          <w:szCs w:val="21"/>
        </w:rPr>
        <w:t xml:space="preserve">Auswertung / Reflexion</w:t>
      </w:r>
    </w:p>
    <w:p>
      <w:pPr>
        <w:pStyle w:val="ListParagraph"/>
        <w:numPr>
          <w:ilvl w:val="0"/>
          <w:numId w:val="1"/>
        </w:numPr>
        <w:spacing w:after="70" w:line="264"/>
      </w:pPr>
      <w:r>
        <w:rPr>
          <w:rFonts w:ascii="Calibri" w:cs="Calibri" w:eastAsia="Calibri" w:hAnsi="Calibri"/>
          <w:color w:val="233139"/>
          <w:sz w:val="21"/>
          <w:szCs w:val="21"/>
        </w:rPr>
        <w:t xml:space="preserve">Wie sicher können wir aus Körpersprache lesen – und wo täuschen wir uns?</w:t>
      </w:r>
    </w:p>
    <w:p>
      <w:pPr>
        <w:pStyle w:val="ListParagraph"/>
        <w:numPr>
          <w:ilvl w:val="0"/>
          <w:numId w:val="1"/>
        </w:numPr>
        <w:spacing w:after="70" w:line="264"/>
      </w:pPr>
      <w:r>
        <w:rPr>
          <w:rFonts w:ascii="Calibri" w:cs="Calibri" w:eastAsia="Calibri" w:hAnsi="Calibri"/>
          <w:color w:val="233139"/>
          <w:sz w:val="21"/>
          <w:szCs w:val="21"/>
        </w:rPr>
        <w:t xml:space="preserve">Was folgt daraus? (Nicht interpretieren, sondern nachfragen.)</w:t>
      </w:r>
    </w:p>
    <w:p>
      <w:pPr>
        <w:pStyle w:val="ListParagraph"/>
        <w:numPr>
          <w:ilvl w:val="0"/>
          <w:numId w:val="1"/>
        </w:numPr>
        <w:spacing w:after="70" w:line="264"/>
      </w:pPr>
      <w:r>
        <w:rPr>
          <w:rFonts w:ascii="Calibri" w:cs="Calibri" w:eastAsia="Calibri" w:hAnsi="Calibri"/>
          <w:color w:val="233139"/>
          <w:sz w:val="21"/>
          <w:szCs w:val="21"/>
        </w:rPr>
        <w:t xml:space="preserve">Wann haben Sie zuletzt Signale übersehen?</w:t>
      </w: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Moderationstipp</w:t>
            </w:r>
          </w:p>
          <w:p>
            <w:pPr>
              <w:spacing w:after="0" w:before="0" w:line="276"/>
            </w:pPr>
            <w:r>
              <w:rPr>
                <w:rFonts w:ascii="Calibri" w:cs="Calibri" w:eastAsia="Calibri" w:hAnsi="Calibri"/>
                <w:color w:val="233139"/>
                <w:sz w:val="21"/>
                <w:szCs w:val="21"/>
              </w:rPr>
              <w:t xml:space="preserve">Wichtige Botschaft: Körpersprache ist ein Hinweis, kein Beweis. Sie ersetzt nie das nachfragende Gespräch.</w:t>
            </w:r>
          </w:p>
        </w:tc>
      </w:tr>
    </w:tbl>
    <w:p>
      <w:pPr>
        <w:pStyle w:val="Heading2"/>
      </w:pPr>
      <w:r>
        <w:t xml:space="preserve">Übung 6: Ampelübung: Belastung einschätzen</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500"/>
        <w:gridCol w:w="7860"/>
      </w:tblGrid>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Ziel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Ein einfaches Frühwarn-Bild vermitteln, um eigene und fremde Belastung einzuordnen.</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Dauer</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ca. 10–15 Min. (optional, Abschluss)</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Material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Ampelbogen (Kopiervorlage), Stifte.</w:t>
            </w:r>
          </w:p>
        </w:tc>
      </w:tr>
    </w:tbl>
    <w:p>
      <w:pPr>
        <w:spacing w:after="60" w:before="80"/>
      </w:pPr>
      <w:r>
        <w:rPr>
          <w:rFonts w:ascii="Cambria" w:cs="Cambria" w:eastAsia="Cambria" w:hAnsi="Cambria"/>
          <w:b/>
          <w:bCs/>
          <w:color w:val="B9793B"/>
          <w:sz w:val="21"/>
          <w:szCs w:val="21"/>
        </w:rPr>
        <w:t xml:space="preserve">Ablauf</w:t>
      </w:r>
    </w:p>
    <w:p>
      <w:pPr>
        <w:pStyle w:val="ListParagraph"/>
        <w:numPr>
          <w:ilvl w:val="0"/>
          <w:numId w:val="1"/>
        </w:numPr>
        <w:spacing w:after="70" w:line="264"/>
      </w:pPr>
      <w:r>
        <w:rPr>
          <w:rFonts w:ascii="Calibri" w:cs="Calibri" w:eastAsia="Calibri" w:hAnsi="Calibri"/>
          <w:color w:val="233139"/>
          <w:sz w:val="21"/>
          <w:szCs w:val="21"/>
        </w:rPr>
        <w:t xml:space="preserve">Das Ampelmodell erklären: Grün = im Gleichgewicht · Gelb = überlastet, Warnsignale · Rot = Krise, Hilfe nötig.</w:t>
      </w:r>
    </w:p>
    <w:p>
      <w:pPr>
        <w:pStyle w:val="ListParagraph"/>
        <w:numPr>
          <w:ilvl w:val="0"/>
          <w:numId w:val="1"/>
        </w:numPr>
        <w:spacing w:after="70" w:line="264"/>
      </w:pPr>
      <w:r>
        <w:rPr>
          <w:rFonts w:ascii="Calibri" w:cs="Calibri" w:eastAsia="Calibri" w:hAnsi="Calibri"/>
          <w:color w:val="233139"/>
          <w:sz w:val="21"/>
          <w:szCs w:val="21"/>
        </w:rPr>
        <w:t xml:space="preserve">Stille Selbsteinschätzung auf dem Bogen (freiwillig, bleibt bei der Person).</w:t>
      </w:r>
    </w:p>
    <w:p>
      <w:pPr>
        <w:pStyle w:val="ListParagraph"/>
        <w:numPr>
          <w:ilvl w:val="0"/>
          <w:numId w:val="1"/>
        </w:numPr>
        <w:spacing w:after="70" w:line="264"/>
      </w:pPr>
      <w:r>
        <w:rPr>
          <w:rFonts w:ascii="Calibri" w:cs="Calibri" w:eastAsia="Calibri" w:hAnsi="Calibri"/>
          <w:color w:val="233139"/>
          <w:sz w:val="21"/>
          <w:szCs w:val="21"/>
        </w:rPr>
        <w:t xml:space="preserve">Gemeinsam sammeln: Woran erkenne ich „Gelb“ bei mir/bei anderen? Was tut in Gelb gut? Was ist in Rot zu tun?</w:t>
      </w:r>
    </w:p>
    <w:p>
      <w:pPr>
        <w:pStyle w:val="ListParagraph"/>
        <w:numPr>
          <w:ilvl w:val="0"/>
          <w:numId w:val="1"/>
        </w:numPr>
        <w:spacing w:after="70" w:line="264"/>
      </w:pPr>
      <w:r>
        <w:rPr>
          <w:rFonts w:ascii="Calibri" w:cs="Calibri" w:eastAsia="Calibri" w:hAnsi="Calibri"/>
          <w:color w:val="233139"/>
          <w:sz w:val="21"/>
          <w:szCs w:val="21"/>
        </w:rPr>
        <w:t xml:space="preserve">Verknüpfen mit Anlaufstellen (Rot = professionelle Hilfe).</w:t>
      </w:r>
    </w:p>
    <w:p>
      <w:pPr>
        <w:spacing w:after="60" w:before="80"/>
      </w:pPr>
      <w:r>
        <w:rPr>
          <w:rFonts w:ascii="Cambria" w:cs="Cambria" w:eastAsia="Cambria" w:hAnsi="Cambria"/>
          <w:b/>
          <w:bCs/>
          <w:color w:val="B9793B"/>
          <w:sz w:val="21"/>
          <w:szCs w:val="21"/>
        </w:rPr>
        <w:t xml:space="preserve">Auswertung / Reflexion</w:t>
      </w:r>
    </w:p>
    <w:p>
      <w:pPr>
        <w:pStyle w:val="ListParagraph"/>
        <w:numPr>
          <w:ilvl w:val="0"/>
          <w:numId w:val="1"/>
        </w:numPr>
        <w:spacing w:after="70" w:line="264"/>
      </w:pPr>
      <w:r>
        <w:rPr>
          <w:rFonts w:ascii="Calibri" w:cs="Calibri" w:eastAsia="Calibri" w:hAnsi="Calibri"/>
          <w:color w:val="233139"/>
          <w:sz w:val="21"/>
          <w:szCs w:val="21"/>
        </w:rPr>
        <w:t xml:space="preserve">Welche persönlichen „Gelb“-Signale kenne ich?</w:t>
      </w:r>
    </w:p>
    <w:p>
      <w:pPr>
        <w:pStyle w:val="ListParagraph"/>
        <w:numPr>
          <w:ilvl w:val="0"/>
          <w:numId w:val="1"/>
        </w:numPr>
        <w:spacing w:after="70" w:line="264"/>
      </w:pPr>
      <w:r>
        <w:rPr>
          <w:rFonts w:ascii="Calibri" w:cs="Calibri" w:eastAsia="Calibri" w:hAnsi="Calibri"/>
          <w:color w:val="233139"/>
          <w:sz w:val="21"/>
          <w:szCs w:val="21"/>
        </w:rPr>
        <w:t xml:space="preserve">Was hilft mir, von Gelb zurück zu Grün zu kommen?</w:t>
      </w:r>
    </w:p>
    <w:p>
      <w:pPr>
        <w:pStyle w:val="ListParagraph"/>
        <w:numPr>
          <w:ilvl w:val="0"/>
          <w:numId w:val="1"/>
        </w:numPr>
        <w:spacing w:after="70" w:line="264"/>
      </w:pPr>
      <w:r>
        <w:rPr>
          <w:rFonts w:ascii="Calibri" w:cs="Calibri" w:eastAsia="Calibri" w:hAnsi="Calibri"/>
          <w:color w:val="233139"/>
          <w:sz w:val="21"/>
          <w:szCs w:val="21"/>
        </w:rPr>
        <w:t xml:space="preserve">Wen könnte ich in Rot anrufen?</w:t>
      </w: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Moderationstipp</w:t>
            </w:r>
          </w:p>
          <w:p>
            <w:pPr>
              <w:spacing w:after="0" w:before="0" w:line="276"/>
            </w:pPr>
            <w:r>
              <w:rPr>
                <w:rFonts w:ascii="Calibri" w:cs="Calibri" w:eastAsia="Calibri" w:hAnsi="Calibri"/>
                <w:color w:val="233139"/>
                <w:sz w:val="21"/>
                <w:szCs w:val="21"/>
              </w:rPr>
              <w:t xml:space="preserve">Der Bogen ist privat – niemand muss seine Farbe zeigen. Es geht um Selbstwahrnehmung, nicht um Bewertung.</w:t>
            </w:r>
          </w:p>
        </w:tc>
      </w:tr>
    </w:tbl>
    <w:p>
      <w:pPr>
        <w:pStyle w:val="Heading2"/>
      </w:pPr>
      <w:r>
        <w:t xml:space="preserve">Übung 7: Reflexionsbogen</w:t>
      </w: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1500"/>
        <w:gridCol w:w="7860"/>
      </w:tblGrid>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Ziel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Das Erlebte sichern, ins eigene Leben übersetzen, einen persönlichen Vorsatz formulieren.</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Dauer</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ca. 10 Min. (Abschluss)</w:t>
            </w:r>
          </w:p>
        </w:tc>
      </w:tr>
      <w:tr>
        <w:tc>
          <w:tcPr>
            <w:tcW w:type="dxa" w:w="1500"/>
            <w:shd w:fill="EAF1EF" w:color="auto" w:val="clear"/>
            <w:tcMar>
              <w:top w:type="dxa" w:w="70"/>
              <w:left w:type="dxa" w:w="120"/>
              <w:bottom w:type="dxa" w:w="70"/>
              <w:right w:type="dxa" w:w="120"/>
            </w:tcMar>
          </w:tcPr>
          <w:p>
            <w:pPr>
              <w:spacing w:after="0"/>
            </w:pPr>
            <w:r>
              <w:rPr>
                <w:rFonts w:ascii="Calibri" w:cs="Calibri" w:eastAsia="Calibri" w:hAnsi="Calibri"/>
                <w:b/>
                <w:bCs/>
                <w:color w:val="3F7C79"/>
                <w:sz w:val="20"/>
                <w:szCs w:val="20"/>
              </w:rPr>
              <w:t xml:space="preserve">Material</w:t>
            </w:r>
          </w:p>
        </w:tc>
        <w:tc>
          <w:tcPr>
            <w:tcW w:type="dxa" w:w="7860"/>
            <w:tcMar>
              <w:top w:type="dxa" w:w="70"/>
              <w:left w:type="dxa" w:w="120"/>
              <w:bottom w:type="dxa" w:w="70"/>
              <w:right w:type="dxa" w:w="120"/>
            </w:tcMar>
          </w:tcPr>
          <w:p>
            <w:pPr>
              <w:spacing w:after="0"/>
            </w:pPr>
            <w:r>
              <w:rPr>
                <w:rFonts w:ascii="Calibri" w:cs="Calibri" w:eastAsia="Calibri" w:hAnsi="Calibri"/>
                <w:color w:val="233139"/>
                <w:sz w:val="20"/>
                <w:szCs w:val="20"/>
              </w:rPr>
              <w:t xml:space="preserve">Reflexionsbogen (Kopiervorlage), Stifte.</w:t>
            </w:r>
          </w:p>
        </w:tc>
      </w:tr>
    </w:tbl>
    <w:p>
      <w:pPr>
        <w:spacing w:after="60" w:before="80"/>
      </w:pPr>
      <w:r>
        <w:rPr>
          <w:rFonts w:ascii="Cambria" w:cs="Cambria" w:eastAsia="Cambria" w:hAnsi="Cambria"/>
          <w:b/>
          <w:bCs/>
          <w:color w:val="B9793B"/>
          <w:sz w:val="21"/>
          <w:szCs w:val="21"/>
        </w:rPr>
        <w:t xml:space="preserve">Ablauf</w:t>
      </w:r>
    </w:p>
    <w:p>
      <w:pPr>
        <w:pStyle w:val="ListParagraph"/>
        <w:numPr>
          <w:ilvl w:val="0"/>
          <w:numId w:val="1"/>
        </w:numPr>
        <w:spacing w:after="70" w:line="264"/>
      </w:pPr>
      <w:r>
        <w:rPr>
          <w:rFonts w:ascii="Calibri" w:cs="Calibri" w:eastAsia="Calibri" w:hAnsi="Calibri"/>
          <w:color w:val="233139"/>
          <w:sz w:val="21"/>
          <w:szCs w:val="21"/>
        </w:rPr>
        <w:t xml:space="preserve">Am Ende des Workshops still ausfüllen.</w:t>
      </w:r>
    </w:p>
    <w:p>
      <w:pPr>
        <w:pStyle w:val="ListParagraph"/>
        <w:numPr>
          <w:ilvl w:val="0"/>
          <w:numId w:val="1"/>
        </w:numPr>
        <w:spacing w:after="70" w:line="264"/>
      </w:pPr>
      <w:r>
        <w:rPr>
          <w:rFonts w:ascii="Calibri" w:cs="Calibri" w:eastAsia="Calibri" w:hAnsi="Calibri"/>
          <w:color w:val="233139"/>
          <w:sz w:val="21"/>
          <w:szCs w:val="21"/>
        </w:rPr>
        <w:t xml:space="preserve">Fragen u. a.: Was nehme ich mit? Welches Bild ist mir geblieben? Was mache ich ab morgen anders?</w:t>
      </w:r>
    </w:p>
    <w:p>
      <w:pPr>
        <w:pStyle w:val="ListParagraph"/>
        <w:numPr>
          <w:ilvl w:val="0"/>
          <w:numId w:val="1"/>
        </w:numPr>
        <w:spacing w:after="70" w:line="264"/>
      </w:pPr>
      <w:r>
        <w:rPr>
          <w:rFonts w:ascii="Calibri" w:cs="Calibri" w:eastAsia="Calibri" w:hAnsi="Calibri"/>
          <w:color w:val="233139"/>
          <w:sz w:val="21"/>
          <w:szCs w:val="21"/>
        </w:rPr>
        <w:t xml:space="preserve">Freiwilliges Blitzlicht: ein Wort oder ein Satz in die Runde.</w:t>
      </w:r>
    </w:p>
    <w:p>
      <w:pPr>
        <w:pStyle w:val="ListParagraph"/>
        <w:numPr>
          <w:ilvl w:val="0"/>
          <w:numId w:val="1"/>
        </w:numPr>
        <w:spacing w:after="70" w:line="264"/>
      </w:pPr>
      <w:r>
        <w:rPr>
          <w:rFonts w:ascii="Calibri" w:cs="Calibri" w:eastAsia="Calibri" w:hAnsi="Calibri"/>
          <w:color w:val="233139"/>
          <w:sz w:val="21"/>
          <w:szCs w:val="21"/>
        </w:rPr>
        <w:t xml:space="preserve">Bogen bleibt bei den Teilnehmenden (privat).</w:t>
      </w:r>
    </w:p>
    <w:p>
      <w:pPr>
        <w:spacing w:after="60" w:before="80"/>
      </w:pPr>
      <w:r>
        <w:rPr>
          <w:rFonts w:ascii="Cambria" w:cs="Cambria" w:eastAsia="Cambria" w:hAnsi="Cambria"/>
          <w:b/>
          <w:bCs/>
          <w:color w:val="B9793B"/>
          <w:sz w:val="21"/>
          <w:szCs w:val="21"/>
        </w:rPr>
        <w:t xml:space="preserve">Auswertung / Reflexion</w:t>
      </w:r>
    </w:p>
    <w:p>
      <w:pPr>
        <w:pStyle w:val="ListParagraph"/>
        <w:numPr>
          <w:ilvl w:val="0"/>
          <w:numId w:val="1"/>
        </w:numPr>
        <w:spacing w:after="70" w:line="264"/>
      </w:pPr>
      <w:r>
        <w:rPr>
          <w:rFonts w:ascii="Calibri" w:cs="Calibri" w:eastAsia="Calibri" w:hAnsi="Calibri"/>
          <w:color w:val="233139"/>
          <w:sz w:val="21"/>
          <w:szCs w:val="21"/>
        </w:rPr>
        <w:t xml:space="preserve">Was war der wichtigste Moment für mich?</w:t>
      </w:r>
    </w:p>
    <w:p>
      <w:pPr>
        <w:pStyle w:val="ListParagraph"/>
        <w:numPr>
          <w:ilvl w:val="0"/>
          <w:numId w:val="1"/>
        </w:numPr>
        <w:spacing w:after="70" w:line="264"/>
      </w:pPr>
      <w:r>
        <w:rPr>
          <w:rFonts w:ascii="Calibri" w:cs="Calibri" w:eastAsia="Calibri" w:hAnsi="Calibri"/>
          <w:color w:val="233139"/>
          <w:sz w:val="21"/>
          <w:szCs w:val="21"/>
        </w:rPr>
        <w:t xml:space="preserve">Wen möchte ich anders begleiten als bisher?</w:t>
      </w:r>
    </w:p>
    <w:p>
      <w:pPr>
        <w:pStyle w:val="ListParagraph"/>
        <w:numPr>
          <w:ilvl w:val="0"/>
          <w:numId w:val="1"/>
        </w:numPr>
        <w:spacing w:after="70" w:line="264"/>
      </w:pPr>
      <w:r>
        <w:rPr>
          <w:rFonts w:ascii="Calibri" w:cs="Calibri" w:eastAsia="Calibri" w:hAnsi="Calibri"/>
          <w:color w:val="233139"/>
          <w:sz w:val="21"/>
          <w:szCs w:val="21"/>
        </w:rPr>
        <w:t xml:space="preserve">Was ist mein erster konkreter Schritt?</w:t>
      </w:r>
    </w:p>
    <w:tbl>
      <w:tblPr>
        <w:tblW w:type="dxa" w:w="9360"/>
        <w:tblBorders>
          <w:top w:val="single" w:color="EAF1EF" w:sz="2"/>
          <w:left w:val="single" w:color="3F7C79" w:sz="18"/>
          <w:bottom w:val="single" w:color="EAF1EF" w:sz="2"/>
          <w:right w:val="single" w:color="EAF1EF" w:sz="2"/>
          <w:insideH w:val="none"/>
          <w:insideV w:val="none"/>
        </w:tblBorders>
      </w:tblPr>
      <w:tblGrid>
        <w:gridCol w:w="9360"/>
      </w:tblGrid>
      <w:tr>
        <w:tc>
          <w:tcPr>
            <w:tcW w:type="dxa" w:w="9360"/>
            <w:shd w:fill="EAF1EF" w:color="auto" w:val="clear"/>
            <w:tcMar>
              <w:top w:type="dxa" w:w="140"/>
              <w:left w:type="dxa" w:w="200"/>
              <w:bottom w:type="dxa" w:w="140"/>
              <w:right w:type="dxa" w:w="200"/>
            </w:tcMar>
          </w:tcPr>
          <w:p>
            <w:pPr>
              <w:spacing w:after="60"/>
            </w:pPr>
            <w:r>
              <w:rPr>
                <w:rFonts w:ascii="Cambria" w:cs="Cambria" w:eastAsia="Cambria" w:hAnsi="Cambria"/>
                <w:b/>
                <w:bCs/>
                <w:color w:val="3F7C79"/>
                <w:sz w:val="22"/>
                <w:szCs w:val="22"/>
              </w:rPr>
              <w:t xml:space="preserve">Moderationstipp</w:t>
            </w:r>
          </w:p>
          <w:p>
            <w:pPr>
              <w:spacing w:after="0" w:before="0" w:line="276"/>
            </w:pPr>
            <w:r>
              <w:rPr>
                <w:rFonts w:ascii="Calibri" w:cs="Calibri" w:eastAsia="Calibri" w:hAnsi="Calibri"/>
                <w:color w:val="233139"/>
                <w:sz w:val="21"/>
                <w:szCs w:val="21"/>
              </w:rPr>
              <w:t xml:space="preserve">Verbindet den Kreis: Vorsätze knüpfen an die Erwartungen vom Morgen an.</w:t>
            </w:r>
          </w:p>
        </w:tc>
      </w:tr>
    </w:tbl>
    <w:p>
      <w:r>
        <w:br w:type="page"/>
      </w:r>
    </w:p>
    <w:p>
      <w:pPr>
        <w:pStyle w:val="Heading1"/>
      </w:pPr>
      <w:r>
        <w:t xml:space="preserve">8  Diskussionsfragen mit Moderationshinweisen</w:t>
      </w:r>
    </w:p>
    <w:p>
      <w:pPr>
        <w:spacing w:after="120" w:before="0" w:line="276"/>
      </w:pPr>
      <w:r>
        <w:rPr>
          <w:rFonts w:ascii="Calibri" w:cs="Calibri" w:eastAsia="Calibri" w:hAnsi="Calibri"/>
          <w:color w:val="233139"/>
          <w:sz w:val="21"/>
          <w:szCs w:val="21"/>
        </w:rPr>
        <w:t xml:space="preserve">Diese fünf Fragen vertiefen den roten Faden. Setzen Sie sie flexibel ein – im Plenum, als Murmelrunde zu zweit oder in Kleingruppen. Zu jeder Frage: worum es geht und wie Sie moderieren.</w:t>
      </w:r>
    </w:p>
    <w:p>
      <w:pPr>
        <w:pStyle w:val="Heading2"/>
      </w:pPr>
      <w:r>
        <w:t xml:space="preserve">Frage 1</w:t>
      </w:r>
    </w:p>
    <w:p>
      <w:pPr>
        <w:spacing w:after="120" w:before="0" w:line="276"/>
      </w:pPr>
      <w:r>
        <w:rPr>
          <w:rFonts w:ascii="Calibri" w:cs="Calibri" w:eastAsia="Calibri" w:hAnsi="Calibri"/>
          <w:b/>
          <w:bCs/>
          <w:i/>
          <w:iCs/>
          <w:color w:val="2E4A52"/>
          <w:sz w:val="23"/>
          <w:szCs w:val="23"/>
        </w:rPr>
        <w:t xml:space="preserve">„Warum fällt es vielen Menschen schwer, Hilfe anzunehmen?“</w:t>
      </w:r>
    </w:p>
    <w:p>
      <w:pPr>
        <w:spacing w:after="120" w:before="0" w:line="276"/>
      </w:pPr>
      <w:r>
        <w:rPr>
          <w:rFonts w:ascii="Calibri" w:cs="Calibri" w:eastAsia="Calibri" w:hAnsi="Calibri"/>
          <w:b/>
          <w:bCs/>
          <w:color w:val="233139"/>
          <w:sz w:val="21"/>
          <w:szCs w:val="21"/>
        </w:rPr>
        <w:t xml:space="preserve">Worum es geht: </w:t>
      </w:r>
      <w:r>
        <w:rPr>
          <w:rFonts w:ascii="Calibri" w:cs="Calibri" w:eastAsia="Calibri" w:hAnsi="Calibri"/>
          <w:color w:val="233139"/>
          <w:sz w:val="21"/>
          <w:szCs w:val="21"/>
        </w:rPr>
        <w:t xml:space="preserve">Scham, Angst vor Stigma, das Ideal der Selbstständigkeit, Sorge um den Job. Der Schritt zur Hilfe ist der schwerste – und wichtigste.</w:t>
      </w:r>
    </w:p>
    <w:p>
      <w:pPr>
        <w:spacing w:after="60"/>
      </w:pPr>
      <w:r>
        <w:rPr>
          <w:rFonts w:ascii="Cambria" w:cs="Cambria" w:eastAsia="Cambria" w:hAnsi="Cambria"/>
          <w:b/>
          <w:bCs/>
          <w:color w:val="B9793B"/>
          <w:sz w:val="20"/>
          <w:szCs w:val="20"/>
        </w:rPr>
        <w:t xml:space="preserve">Moderationshinweise</w:t>
      </w:r>
    </w:p>
    <w:p>
      <w:pPr>
        <w:pStyle w:val="ListParagraph"/>
        <w:numPr>
          <w:ilvl w:val="0"/>
          <w:numId w:val="1"/>
        </w:numPr>
        <w:spacing w:after="70" w:line="264"/>
      </w:pPr>
      <w:r>
        <w:rPr>
          <w:rFonts w:ascii="Calibri" w:cs="Calibri" w:eastAsia="Calibri" w:hAnsi="Calibri"/>
          <w:color w:val="233139"/>
          <w:sz w:val="21"/>
          <w:szCs w:val="21"/>
        </w:rPr>
        <w:t xml:space="preserve">Sammeln Sie Gründe ohne Wertung.</w:t>
      </w:r>
    </w:p>
    <w:p>
      <w:pPr>
        <w:pStyle w:val="ListParagraph"/>
        <w:numPr>
          <w:ilvl w:val="0"/>
          <w:numId w:val="1"/>
        </w:numPr>
        <w:spacing w:after="70" w:line="264"/>
      </w:pPr>
      <w:r>
        <w:rPr>
          <w:rFonts w:ascii="Calibri" w:cs="Calibri" w:eastAsia="Calibri" w:hAnsi="Calibri"/>
          <w:color w:val="233139"/>
          <w:sz w:val="21"/>
          <w:szCs w:val="21"/>
        </w:rPr>
        <w:t xml:space="preserve">Spiegeln: „Hilfe holen wird oft als Schwäche gedeutet – stimmt das?“ (Brücke zu Mythos 4).</w:t>
      </w:r>
    </w:p>
    <w:p>
      <w:pPr>
        <w:pStyle w:val="ListParagraph"/>
        <w:numPr>
          <w:ilvl w:val="0"/>
          <w:numId w:val="1"/>
        </w:numPr>
        <w:spacing w:after="70" w:line="264"/>
      </w:pPr>
      <w:r>
        <w:rPr>
          <w:rFonts w:ascii="Calibri" w:cs="Calibri" w:eastAsia="Calibri" w:hAnsi="Calibri"/>
          <w:color w:val="233139"/>
          <w:sz w:val="21"/>
          <w:szCs w:val="21"/>
        </w:rPr>
        <w:t xml:space="preserve">Persönlich machen: „Wann ist es Ihnen selbst schwergefallen, um Hilfe zu bitten?“</w:t>
      </w:r>
    </w:p>
    <w:p>
      <w:pPr>
        <w:pStyle w:val="Heading2"/>
      </w:pPr>
      <w:r>
        <w:t xml:space="preserve">Frage 2</w:t>
      </w:r>
    </w:p>
    <w:p>
      <w:pPr>
        <w:spacing w:after="120" w:before="0" w:line="276"/>
      </w:pPr>
      <w:r>
        <w:rPr>
          <w:rFonts w:ascii="Calibri" w:cs="Calibri" w:eastAsia="Calibri" w:hAnsi="Calibri"/>
          <w:b/>
          <w:bCs/>
          <w:i/>
          <w:iCs/>
          <w:color w:val="2E4A52"/>
          <w:sz w:val="23"/>
          <w:szCs w:val="23"/>
        </w:rPr>
        <w:t xml:space="preserve">„Warum werden psychische Erkrankungen anders bewertet als körperliche?“</w:t>
      </w:r>
    </w:p>
    <w:p>
      <w:pPr>
        <w:spacing w:after="120" w:before="0" w:line="276"/>
      </w:pPr>
      <w:r>
        <w:rPr>
          <w:rFonts w:ascii="Calibri" w:cs="Calibri" w:eastAsia="Calibri" w:hAnsi="Calibri"/>
          <w:b/>
          <w:bCs/>
          <w:color w:val="233139"/>
          <w:sz w:val="21"/>
          <w:szCs w:val="21"/>
        </w:rPr>
        <w:t xml:space="preserve">Worum es geht: </w:t>
      </w:r>
      <w:r>
        <w:rPr>
          <w:rFonts w:ascii="Calibri" w:cs="Calibri" w:eastAsia="Calibri" w:hAnsi="Calibri"/>
          <w:color w:val="233139"/>
          <w:sz w:val="21"/>
          <w:szCs w:val="21"/>
        </w:rPr>
        <w:t xml:space="preserve">Unsichtbarkeit, fehlende „objektive“ Beweise, alte Vorstellungen von Charakter und Willen. Der Kern des Workshops.</w:t>
      </w:r>
    </w:p>
    <w:p>
      <w:pPr>
        <w:spacing w:after="60"/>
      </w:pPr>
      <w:r>
        <w:rPr>
          <w:rFonts w:ascii="Cambria" w:cs="Cambria" w:eastAsia="Cambria" w:hAnsi="Cambria"/>
          <w:b/>
          <w:bCs/>
          <w:color w:val="B9793B"/>
          <w:sz w:val="20"/>
          <w:szCs w:val="20"/>
        </w:rPr>
        <w:t xml:space="preserve">Moderationshinweise</w:t>
      </w:r>
    </w:p>
    <w:p>
      <w:pPr>
        <w:pStyle w:val="ListParagraph"/>
        <w:numPr>
          <w:ilvl w:val="0"/>
          <w:numId w:val="1"/>
        </w:numPr>
        <w:spacing w:after="70" w:line="264"/>
      </w:pPr>
      <w:r>
        <w:rPr>
          <w:rFonts w:ascii="Calibri" w:cs="Calibri" w:eastAsia="Calibri" w:hAnsi="Calibri"/>
          <w:color w:val="233139"/>
          <w:sz w:val="21"/>
          <w:szCs w:val="21"/>
        </w:rPr>
        <w:t xml:space="preserve">Zurückgreifen auf den Vergleich Beinbruch vs. Depression (Folie 21).</w:t>
      </w:r>
    </w:p>
    <w:p>
      <w:pPr>
        <w:pStyle w:val="ListParagraph"/>
        <w:numPr>
          <w:ilvl w:val="0"/>
          <w:numId w:val="1"/>
        </w:numPr>
        <w:spacing w:after="70" w:line="264"/>
      </w:pPr>
      <w:r>
        <w:rPr>
          <w:rFonts w:ascii="Calibri" w:cs="Calibri" w:eastAsia="Calibri" w:hAnsi="Calibri"/>
          <w:color w:val="233139"/>
          <w:sz w:val="21"/>
          <w:szCs w:val="21"/>
        </w:rPr>
        <w:t xml:space="preserve">Frage: „Was müsste sich ändern, damit ein Krankenstand wegen Depression so selbstverständlich ist wie wegen einer Grippe?“</w:t>
      </w:r>
    </w:p>
    <w:p>
      <w:pPr>
        <w:pStyle w:val="Heading2"/>
      </w:pPr>
      <w:r>
        <w:t xml:space="preserve">Frage 3</w:t>
      </w:r>
    </w:p>
    <w:p>
      <w:pPr>
        <w:spacing w:after="120" w:before="0" w:line="276"/>
      </w:pPr>
      <w:r>
        <w:rPr>
          <w:rFonts w:ascii="Calibri" w:cs="Calibri" w:eastAsia="Calibri" w:hAnsi="Calibri"/>
          <w:b/>
          <w:bCs/>
          <w:i/>
          <w:iCs/>
          <w:color w:val="2E4A52"/>
          <w:sz w:val="23"/>
          <w:szCs w:val="23"/>
        </w:rPr>
        <w:t xml:space="preserve">„Welche Rolle spielt die Arbeitswelt?“</w:t>
      </w:r>
    </w:p>
    <w:p>
      <w:pPr>
        <w:spacing w:after="120" w:before="0" w:line="276"/>
      </w:pPr>
      <w:r>
        <w:rPr>
          <w:rFonts w:ascii="Calibri" w:cs="Calibri" w:eastAsia="Calibri" w:hAnsi="Calibri"/>
          <w:b/>
          <w:bCs/>
          <w:color w:val="233139"/>
          <w:sz w:val="21"/>
          <w:szCs w:val="21"/>
        </w:rPr>
        <w:t xml:space="preserve">Worum es geht: </w:t>
      </w:r>
      <w:r>
        <w:rPr>
          <w:rFonts w:ascii="Calibri" w:cs="Calibri" w:eastAsia="Calibri" w:hAnsi="Calibri"/>
          <w:color w:val="233139"/>
          <w:sz w:val="21"/>
          <w:szCs w:val="21"/>
        </w:rPr>
        <w:t xml:space="preserve">Arbeit kann Auslöser (Druck, Burnout) und Schutzfaktor (Struktur, Sinn, Kontakt) sein. Führungskräfte und Kolleg:innen haben großen Einfluss.</w:t>
      </w:r>
    </w:p>
    <w:p>
      <w:pPr>
        <w:spacing w:after="60"/>
      </w:pPr>
      <w:r>
        <w:rPr>
          <w:rFonts w:ascii="Cambria" w:cs="Cambria" w:eastAsia="Cambria" w:hAnsi="Cambria"/>
          <w:b/>
          <w:bCs/>
          <w:color w:val="B9793B"/>
          <w:sz w:val="20"/>
          <w:szCs w:val="20"/>
        </w:rPr>
        <w:t xml:space="preserve">Moderationshinweise</w:t>
      </w:r>
    </w:p>
    <w:p>
      <w:pPr>
        <w:pStyle w:val="ListParagraph"/>
        <w:numPr>
          <w:ilvl w:val="0"/>
          <w:numId w:val="1"/>
        </w:numPr>
        <w:spacing w:after="70" w:line="264"/>
      </w:pPr>
      <w:r>
        <w:rPr>
          <w:rFonts w:ascii="Calibri" w:cs="Calibri" w:eastAsia="Calibri" w:hAnsi="Calibri"/>
          <w:color w:val="233139"/>
          <w:sz w:val="21"/>
          <w:szCs w:val="21"/>
        </w:rPr>
        <w:t xml:space="preserve">Zwei Spalten am Flipchart: „belastet“ vs. „schützt“.</w:t>
      </w:r>
    </w:p>
    <w:p>
      <w:pPr>
        <w:pStyle w:val="ListParagraph"/>
        <w:numPr>
          <w:ilvl w:val="0"/>
          <w:numId w:val="1"/>
        </w:numPr>
        <w:spacing w:after="70" w:line="264"/>
      </w:pPr>
      <w:r>
        <w:rPr>
          <w:rFonts w:ascii="Calibri" w:cs="Calibri" w:eastAsia="Calibri" w:hAnsi="Calibri"/>
          <w:color w:val="233139"/>
          <w:sz w:val="21"/>
          <w:szCs w:val="21"/>
        </w:rPr>
        <w:t xml:space="preserve">Für Betriebe: konkrete Ideen sammeln (Gesprächskultur, Erreichbarkeit, Wiedereinstieg nach Krankenstand).</w:t>
      </w:r>
    </w:p>
    <w:p>
      <w:pPr>
        <w:pStyle w:val="ListParagraph"/>
        <w:numPr>
          <w:ilvl w:val="0"/>
          <w:numId w:val="1"/>
        </w:numPr>
        <w:spacing w:after="70" w:line="264"/>
      </w:pPr>
      <w:r>
        <w:rPr>
          <w:rFonts w:ascii="Calibri" w:cs="Calibri" w:eastAsia="Calibri" w:hAnsi="Calibri"/>
          <w:color w:val="233139"/>
          <w:sz w:val="21"/>
          <w:szCs w:val="21"/>
        </w:rPr>
        <w:t xml:space="preserve">Auf betriebliche Angebote / Betriebsrat / Arbeitsmedizin verweisen, falls vorhanden.</w:t>
      </w:r>
    </w:p>
    <w:p>
      <w:pPr>
        <w:pStyle w:val="Heading2"/>
      </w:pPr>
      <w:r>
        <w:t xml:space="preserve">Frage 4</w:t>
      </w:r>
    </w:p>
    <w:p>
      <w:pPr>
        <w:spacing w:after="120" w:before="0" w:line="276"/>
      </w:pPr>
      <w:r>
        <w:rPr>
          <w:rFonts w:ascii="Calibri" w:cs="Calibri" w:eastAsia="Calibri" w:hAnsi="Calibri"/>
          <w:b/>
          <w:bCs/>
          <w:i/>
          <w:iCs/>
          <w:color w:val="2E4A52"/>
          <w:sz w:val="23"/>
          <w:szCs w:val="23"/>
        </w:rPr>
        <w:t xml:space="preserve">„Was bedeutet eigentlich Stärke?“</w:t>
      </w:r>
    </w:p>
    <w:p>
      <w:pPr>
        <w:spacing w:after="120" w:before="0" w:line="276"/>
      </w:pPr>
      <w:r>
        <w:rPr>
          <w:rFonts w:ascii="Calibri" w:cs="Calibri" w:eastAsia="Calibri" w:hAnsi="Calibri"/>
          <w:b/>
          <w:bCs/>
          <w:color w:val="233139"/>
          <w:sz w:val="21"/>
          <w:szCs w:val="21"/>
        </w:rPr>
        <w:t xml:space="preserve">Worum es geht: </w:t>
      </w:r>
      <w:r>
        <w:rPr>
          <w:rFonts w:ascii="Calibri" w:cs="Calibri" w:eastAsia="Calibri" w:hAnsi="Calibri"/>
          <w:color w:val="233139"/>
          <w:sz w:val="21"/>
          <w:szCs w:val="21"/>
        </w:rPr>
        <w:t xml:space="preserve">Umdeutung: Stärke ist nicht „durchhalten und nichts zeigen“, sondern sich Hilfe holen, Grenzen setzen, ehrlich sein.</w:t>
      </w:r>
    </w:p>
    <w:p>
      <w:pPr>
        <w:spacing w:after="60"/>
      </w:pPr>
      <w:r>
        <w:rPr>
          <w:rFonts w:ascii="Cambria" w:cs="Cambria" w:eastAsia="Cambria" w:hAnsi="Cambria"/>
          <w:b/>
          <w:bCs/>
          <w:color w:val="B9793B"/>
          <w:sz w:val="20"/>
          <w:szCs w:val="20"/>
        </w:rPr>
        <w:t xml:space="preserve">Moderationshinweise</w:t>
      </w:r>
    </w:p>
    <w:p>
      <w:pPr>
        <w:pStyle w:val="ListParagraph"/>
        <w:numPr>
          <w:ilvl w:val="0"/>
          <w:numId w:val="1"/>
        </w:numPr>
        <w:spacing w:after="70" w:line="264"/>
      </w:pPr>
      <w:r>
        <w:rPr>
          <w:rFonts w:ascii="Calibri" w:cs="Calibri" w:eastAsia="Calibri" w:hAnsi="Calibri"/>
          <w:color w:val="233139"/>
          <w:sz w:val="21"/>
          <w:szCs w:val="21"/>
        </w:rPr>
        <w:t xml:space="preserve">Bewusst provozieren: „Ist der, der zusammenbeißt, wirklich der Stärkere?“</w:t>
      </w:r>
    </w:p>
    <w:p>
      <w:pPr>
        <w:pStyle w:val="ListParagraph"/>
        <w:numPr>
          <w:ilvl w:val="0"/>
          <w:numId w:val="1"/>
        </w:numPr>
        <w:spacing w:after="70" w:line="264"/>
      </w:pPr>
      <w:r>
        <w:rPr>
          <w:rFonts w:ascii="Calibri" w:cs="Calibri" w:eastAsia="Calibri" w:hAnsi="Calibri"/>
          <w:color w:val="233139"/>
          <w:sz w:val="21"/>
          <w:szCs w:val="21"/>
        </w:rPr>
        <w:t xml:space="preserve">Eigene Definitionen sammeln lassen.</w:t>
      </w:r>
    </w:p>
    <w:p>
      <w:pPr>
        <w:pStyle w:val="ListParagraph"/>
        <w:numPr>
          <w:ilvl w:val="0"/>
          <w:numId w:val="1"/>
        </w:numPr>
        <w:spacing w:after="70" w:line="264"/>
      </w:pPr>
      <w:r>
        <w:rPr>
          <w:rFonts w:ascii="Calibri" w:cs="Calibri" w:eastAsia="Calibri" w:hAnsi="Calibri"/>
          <w:color w:val="233139"/>
          <w:sz w:val="21"/>
          <w:szCs w:val="21"/>
        </w:rPr>
        <w:t xml:space="preserve">Bogen zu Ihrer Geschichte: Was war für Sie der stärkste Moment?</w:t>
      </w:r>
    </w:p>
    <w:p>
      <w:pPr>
        <w:pStyle w:val="Heading2"/>
      </w:pPr>
      <w:r>
        <w:t xml:space="preserve">Frage 5</w:t>
      </w:r>
    </w:p>
    <w:p>
      <w:pPr>
        <w:spacing w:after="120" w:before="0" w:line="276"/>
      </w:pPr>
      <w:r>
        <w:rPr>
          <w:rFonts w:ascii="Calibri" w:cs="Calibri" w:eastAsia="Calibri" w:hAnsi="Calibri"/>
          <w:b/>
          <w:bCs/>
          <w:i/>
          <w:iCs/>
          <w:color w:val="2E4A52"/>
          <w:sz w:val="23"/>
          <w:szCs w:val="23"/>
        </w:rPr>
        <w:t xml:space="preserve">„Wie kann jeder Einzelne zur Entstigmatisierung beitragen?“</w:t>
      </w:r>
    </w:p>
    <w:p>
      <w:pPr>
        <w:spacing w:after="120" w:before="0" w:line="276"/>
      </w:pPr>
      <w:r>
        <w:rPr>
          <w:rFonts w:ascii="Calibri" w:cs="Calibri" w:eastAsia="Calibri" w:hAnsi="Calibri"/>
          <w:b/>
          <w:bCs/>
          <w:color w:val="233139"/>
          <w:sz w:val="21"/>
          <w:szCs w:val="21"/>
        </w:rPr>
        <w:t xml:space="preserve">Worum es geht: </w:t>
      </w:r>
      <w:r>
        <w:rPr>
          <w:rFonts w:ascii="Calibri" w:cs="Calibri" w:eastAsia="Calibri" w:hAnsi="Calibri"/>
          <w:color w:val="233139"/>
          <w:sz w:val="21"/>
          <w:szCs w:val="21"/>
        </w:rPr>
        <w:t xml:space="preserve">Vom Verstehen zum Handeln: hinschauen, nachfragen, offen reden, Sprache verändern, nicht verurteilen.</w:t>
      </w:r>
    </w:p>
    <w:p>
      <w:pPr>
        <w:spacing w:after="60"/>
      </w:pPr>
      <w:r>
        <w:rPr>
          <w:rFonts w:ascii="Cambria" w:cs="Cambria" w:eastAsia="Cambria" w:hAnsi="Cambria"/>
          <w:b/>
          <w:bCs/>
          <w:color w:val="B9793B"/>
          <w:sz w:val="20"/>
          <w:szCs w:val="20"/>
        </w:rPr>
        <w:t xml:space="preserve">Moderationshinweise</w:t>
      </w:r>
    </w:p>
    <w:p>
      <w:pPr>
        <w:pStyle w:val="ListParagraph"/>
        <w:numPr>
          <w:ilvl w:val="0"/>
          <w:numId w:val="1"/>
        </w:numPr>
        <w:spacing w:after="70" w:line="264"/>
      </w:pPr>
      <w:r>
        <w:rPr>
          <w:rFonts w:ascii="Calibri" w:cs="Calibri" w:eastAsia="Calibri" w:hAnsi="Calibri"/>
          <w:color w:val="233139"/>
          <w:sz w:val="21"/>
          <w:szCs w:val="21"/>
        </w:rPr>
        <w:t xml:space="preserve">Konkrete Vorsätze sammeln („Ich werde …“).</w:t>
      </w:r>
    </w:p>
    <w:p>
      <w:pPr>
        <w:pStyle w:val="ListParagraph"/>
        <w:numPr>
          <w:ilvl w:val="0"/>
          <w:numId w:val="1"/>
        </w:numPr>
        <w:spacing w:after="70" w:line="264"/>
      </w:pPr>
      <w:r>
        <w:rPr>
          <w:rFonts w:ascii="Calibri" w:cs="Calibri" w:eastAsia="Calibri" w:hAnsi="Calibri"/>
          <w:color w:val="233139"/>
          <w:sz w:val="21"/>
          <w:szCs w:val="21"/>
        </w:rPr>
        <w:t xml:space="preserve">An den Reflexionsbogen anknüpfen.</w:t>
      </w:r>
    </w:p>
    <w:p>
      <w:pPr>
        <w:pStyle w:val="ListParagraph"/>
        <w:numPr>
          <w:ilvl w:val="0"/>
          <w:numId w:val="1"/>
        </w:numPr>
        <w:spacing w:after="70" w:line="264"/>
      </w:pPr>
      <w:r>
        <w:rPr>
          <w:rFonts w:ascii="Calibri" w:cs="Calibri" w:eastAsia="Calibri" w:hAnsi="Calibri"/>
          <w:color w:val="233139"/>
          <w:sz w:val="21"/>
          <w:szCs w:val="21"/>
        </w:rPr>
        <w:t xml:space="preserve">Mit einem ermutigenden Satz abschließen: Veränderung beginnt bei einem einzelnen verständnisvollen Menschen.</w:t>
      </w:r>
    </w:p>
    <w:p>
      <w:r>
        <w:br w:type="page"/>
      </w:r>
    </w:p>
    <w:p>
      <w:pPr>
        <w:pStyle w:val="Heading1"/>
      </w:pPr>
      <w:r>
        <w:t xml:space="preserve">9  Umgang mit schwierigen Situationen</w:t>
      </w:r>
    </w:p>
    <w:p>
      <w:pPr>
        <w:spacing w:after="120" w:before="0" w:line="276"/>
      </w:pPr>
      <w:r>
        <w:rPr>
          <w:rFonts w:ascii="Calibri" w:cs="Calibri" w:eastAsia="Calibri" w:hAnsi="Calibri"/>
          <w:color w:val="233139"/>
          <w:sz w:val="21"/>
          <w:szCs w:val="21"/>
        </w:rPr>
        <w:t xml:space="preserve">Weil das Thema berührt, können im Workshop starke Reaktionen auftreten. Das ist normal. Hier die häufigsten Situationen und wie Sie souverän reagieren.</w:t>
      </w:r>
    </w:p>
    <w:p>
      <w:pPr>
        <w:pStyle w:val="Heading2"/>
      </w:pPr>
      <w:r>
        <w:t xml:space="preserve">Eine teilnehmende Person wird emotional / weint</w:t>
      </w:r>
    </w:p>
    <w:p>
      <w:pPr>
        <w:pStyle w:val="ListParagraph"/>
        <w:numPr>
          <w:ilvl w:val="0"/>
          <w:numId w:val="1"/>
        </w:numPr>
        <w:spacing w:after="70" w:line="264"/>
      </w:pPr>
      <w:r>
        <w:rPr>
          <w:rFonts w:ascii="Calibri" w:cs="Calibri" w:eastAsia="Calibri" w:hAnsi="Calibri"/>
          <w:color w:val="233139"/>
          <w:sz w:val="21"/>
          <w:szCs w:val="21"/>
        </w:rPr>
        <w:t xml:space="preserve">Ruhe ausstrahlen. Nicht dramatisieren, nicht sofort „retten“.</w:t>
      </w:r>
    </w:p>
    <w:p>
      <w:pPr>
        <w:pStyle w:val="ListParagraph"/>
        <w:numPr>
          <w:ilvl w:val="0"/>
          <w:numId w:val="1"/>
        </w:numPr>
        <w:spacing w:after="70" w:line="264"/>
      </w:pPr>
      <w:r>
        <w:rPr>
          <w:rFonts w:ascii="Calibri" w:cs="Calibri" w:eastAsia="Calibri" w:hAnsi="Calibri"/>
          <w:color w:val="233139"/>
          <w:sz w:val="21"/>
          <w:szCs w:val="21"/>
        </w:rPr>
        <w:t xml:space="preserve">Kurz anerkennen: „Das darf sein. Nehmen Sie sich einen Moment.“ Taschentücher unaufdringlich reichen.</w:t>
      </w:r>
    </w:p>
    <w:p>
      <w:pPr>
        <w:pStyle w:val="ListParagraph"/>
        <w:numPr>
          <w:ilvl w:val="0"/>
          <w:numId w:val="1"/>
        </w:numPr>
        <w:spacing w:after="70" w:line="264"/>
      </w:pPr>
      <w:r>
        <w:rPr>
          <w:rFonts w:ascii="Calibri" w:cs="Calibri" w:eastAsia="Calibri" w:hAnsi="Calibri"/>
          <w:color w:val="233139"/>
          <w:sz w:val="21"/>
          <w:szCs w:val="21"/>
        </w:rPr>
        <w:t xml:space="preserve">Anbieten (nicht drängen): kurze Pause, rausgehen, ein Gespräch danach.</w:t>
      </w:r>
    </w:p>
    <w:p>
      <w:pPr>
        <w:pStyle w:val="ListParagraph"/>
        <w:numPr>
          <w:ilvl w:val="0"/>
          <w:numId w:val="1"/>
        </w:numPr>
        <w:spacing w:after="70" w:line="264"/>
      </w:pPr>
      <w:r>
        <w:rPr>
          <w:rFonts w:ascii="Calibri" w:cs="Calibri" w:eastAsia="Calibri" w:hAnsi="Calibri"/>
          <w:color w:val="233139"/>
          <w:sz w:val="21"/>
          <w:szCs w:val="21"/>
        </w:rPr>
        <w:t xml:space="preserve">Der Gruppe Halt geben: „Dass uns das berührt, zeigt, wie wichtig es ist.“</w:t>
      </w:r>
    </w:p>
    <w:p>
      <w:pPr>
        <w:pStyle w:val="Heading2"/>
      </w:pPr>
      <w:r>
        <w:t xml:space="preserve">Jemand offenbart eine eigene Betroffenheit</w:t>
      </w:r>
    </w:p>
    <w:p>
      <w:pPr>
        <w:pStyle w:val="ListParagraph"/>
        <w:numPr>
          <w:ilvl w:val="0"/>
          <w:numId w:val="1"/>
        </w:numPr>
        <w:spacing w:after="70" w:line="264"/>
      </w:pPr>
      <w:r>
        <w:rPr>
          <w:rFonts w:ascii="Calibri" w:cs="Calibri" w:eastAsia="Calibri" w:hAnsi="Calibri"/>
          <w:color w:val="233139"/>
          <w:sz w:val="21"/>
          <w:szCs w:val="21"/>
        </w:rPr>
        <w:t xml:space="preserve">Wertschätzen: „Danke, dass Sie das teilen.“ Nicht ausfragen, nicht diagnostizieren.</w:t>
      </w:r>
    </w:p>
    <w:p>
      <w:pPr>
        <w:pStyle w:val="ListParagraph"/>
        <w:numPr>
          <w:ilvl w:val="0"/>
          <w:numId w:val="1"/>
        </w:numPr>
        <w:spacing w:after="70" w:line="264"/>
      </w:pPr>
      <w:r>
        <w:rPr>
          <w:rFonts w:ascii="Calibri" w:cs="Calibri" w:eastAsia="Calibri" w:hAnsi="Calibri"/>
          <w:color w:val="233139"/>
          <w:sz w:val="21"/>
          <w:szCs w:val="21"/>
        </w:rPr>
        <w:t xml:space="preserve">Die Vertraulichkeitsregel in Erinnerung rufen.</w:t>
      </w:r>
    </w:p>
    <w:p>
      <w:pPr>
        <w:pStyle w:val="ListParagraph"/>
        <w:numPr>
          <w:ilvl w:val="0"/>
          <w:numId w:val="1"/>
        </w:numPr>
        <w:spacing w:after="70" w:line="264"/>
      </w:pPr>
      <w:r>
        <w:rPr>
          <w:rFonts w:ascii="Calibri" w:cs="Calibri" w:eastAsia="Calibri" w:hAnsi="Calibri"/>
          <w:color w:val="233139"/>
          <w:sz w:val="21"/>
          <w:szCs w:val="21"/>
        </w:rPr>
        <w:t xml:space="preserve">Bei Bedarf nach dem Workshop ein Einzelgespräch und Verweis auf Anlaufstellen anbieten.</w:t>
      </w:r>
    </w:p>
    <w:p>
      <w:pPr>
        <w:pStyle w:val="Heading2"/>
      </w:pPr>
      <w:r>
        <w:t xml:space="preserve">Jemand relativiert oder provoziert („Alles Einbildung“)</w:t>
      </w:r>
    </w:p>
    <w:p>
      <w:pPr>
        <w:pStyle w:val="ListParagraph"/>
        <w:numPr>
          <w:ilvl w:val="0"/>
          <w:numId w:val="1"/>
        </w:numPr>
        <w:spacing w:after="70" w:line="264"/>
      </w:pPr>
      <w:r>
        <w:rPr>
          <w:rFonts w:ascii="Calibri" w:cs="Calibri" w:eastAsia="Calibri" w:hAnsi="Calibri"/>
          <w:color w:val="233139"/>
          <w:sz w:val="21"/>
          <w:szCs w:val="21"/>
        </w:rPr>
        <w:t xml:space="preserve">Nicht bloßstellen. Die Aussage als Chance nehmen: „Diesen Gedanken hören Betroffene oft – schauen wir, warum er nicht stimmt.“</w:t>
      </w:r>
    </w:p>
    <w:p>
      <w:pPr>
        <w:pStyle w:val="ListParagraph"/>
        <w:numPr>
          <w:ilvl w:val="0"/>
          <w:numId w:val="1"/>
        </w:numPr>
        <w:spacing w:after="70" w:line="264"/>
      </w:pPr>
      <w:r>
        <w:rPr>
          <w:rFonts w:ascii="Calibri" w:cs="Calibri" w:eastAsia="Calibri" w:hAnsi="Calibri"/>
          <w:color w:val="233139"/>
          <w:sz w:val="21"/>
          <w:szCs w:val="21"/>
        </w:rPr>
        <w:t xml:space="preserve">Auf Fakten und Metaphern zurückgreifen (Beinbruch-Vergleich).</w:t>
      </w:r>
    </w:p>
    <w:p>
      <w:pPr>
        <w:pStyle w:val="ListParagraph"/>
        <w:numPr>
          <w:ilvl w:val="0"/>
          <w:numId w:val="1"/>
        </w:numPr>
        <w:spacing w:after="70" w:line="264"/>
      </w:pPr>
      <w:r>
        <w:rPr>
          <w:rFonts w:ascii="Calibri" w:cs="Calibri" w:eastAsia="Calibri" w:hAnsi="Calibri"/>
          <w:color w:val="233139"/>
          <w:sz w:val="21"/>
          <w:szCs w:val="21"/>
        </w:rPr>
        <w:t xml:space="preserve">Die Gruppe einbeziehen, statt allein dagegenzuhalten.</w:t>
      </w:r>
    </w:p>
    <w:p>
      <w:pPr>
        <w:pStyle w:val="Heading2"/>
      </w:pPr>
      <w:r>
        <w:t xml:space="preserve">Krisensignale / Suizidgedanken</w:t>
      </w:r>
    </w:p>
    <w:tbl>
      <w:tblPr>
        <w:tblW w:type="dxa" w:w="9360"/>
        <w:tblBorders>
          <w:top w:val="single" w:color="F6ECE0" w:sz="2"/>
          <w:left w:val="single" w:color="B9793B" w:sz="18"/>
          <w:bottom w:val="single" w:color="F6ECE0" w:sz="2"/>
          <w:right w:val="single" w:color="F6ECE0" w:sz="2"/>
          <w:insideH w:val="none"/>
          <w:insideV w:val="none"/>
        </w:tblBorders>
      </w:tblPr>
      <w:tblGrid>
        <w:gridCol w:w="9360"/>
      </w:tblGrid>
      <w:tr>
        <w:tc>
          <w:tcPr>
            <w:tcW w:type="dxa" w:w="9360"/>
            <w:shd w:fill="F6ECE0" w:color="auto" w:val="clear"/>
            <w:tcMar>
              <w:top w:type="dxa" w:w="140"/>
              <w:left w:type="dxa" w:w="200"/>
              <w:bottom w:type="dxa" w:w="140"/>
              <w:right w:type="dxa" w:w="200"/>
            </w:tcMar>
          </w:tcPr>
          <w:p>
            <w:pPr>
              <w:spacing w:after="60"/>
            </w:pPr>
            <w:r>
              <w:rPr>
                <w:rFonts w:ascii="Cambria" w:cs="Cambria" w:eastAsia="Cambria" w:hAnsi="Cambria"/>
                <w:b/>
                <w:bCs/>
                <w:color w:val="B9793B"/>
                <w:sz w:val="22"/>
                <w:szCs w:val="22"/>
              </w:rPr>
              <w:t xml:space="preserve">Wenn Sie akute Selbstgefährdung wahrnehmen</w:t>
            </w:r>
          </w:p>
          <w:p>
            <w:pPr>
              <w:pStyle w:val="ListParagraph"/>
              <w:numPr>
                <w:ilvl w:val="0"/>
                <w:numId w:val="1"/>
              </w:numPr>
              <w:spacing w:after="40" w:line="264"/>
            </w:pPr>
            <w:r>
              <w:rPr>
                <w:rFonts w:ascii="Calibri" w:cs="Calibri" w:eastAsia="Calibri" w:hAnsi="Calibri"/>
                <w:color w:val="233139"/>
                <w:sz w:val="21"/>
                <w:szCs w:val="21"/>
              </w:rPr>
              <w:t xml:space="preserve">Direkt und ruhig ansprechen: „Denken Sie daran, sich das Leben zu nehmen?“ – Nachfragen pflanzt nichts ein, es entlastet.</w:t>
            </w:r>
          </w:p>
          <w:p>
            <w:pPr>
              <w:pStyle w:val="ListParagraph"/>
              <w:numPr>
                <w:ilvl w:val="0"/>
                <w:numId w:val="1"/>
              </w:numPr>
              <w:spacing w:after="40" w:line="264"/>
            </w:pPr>
            <w:r>
              <w:rPr>
                <w:rFonts w:ascii="Calibri" w:cs="Calibri" w:eastAsia="Calibri" w:hAnsi="Calibri"/>
                <w:color w:val="233139"/>
                <w:sz w:val="21"/>
                <w:szCs w:val="21"/>
              </w:rPr>
              <w:t xml:space="preserve">Die Person nicht allein lassen. Professionelle Hilfe einbeziehen.</w:t>
            </w:r>
          </w:p>
          <w:p>
            <w:pPr>
              <w:pStyle w:val="ListParagraph"/>
              <w:numPr>
                <w:ilvl w:val="0"/>
                <w:numId w:val="1"/>
              </w:numPr>
              <w:spacing w:after="40" w:line="264"/>
            </w:pPr>
            <w:r>
              <w:rPr>
                <w:rFonts w:ascii="Calibri" w:cs="Calibri" w:eastAsia="Calibri" w:hAnsi="Calibri"/>
                <w:color w:val="233139"/>
                <w:sz w:val="21"/>
                <w:szCs w:val="21"/>
              </w:rPr>
              <w:t xml:space="preserve">Notfall: Rettung 144 · Euronotruf 112 · Telefonseelsorge 142 (24 h, kostenlos, anonym).</w:t>
            </w:r>
          </w:p>
          <w:p>
            <w:pPr>
              <w:pStyle w:val="ListParagraph"/>
              <w:numPr>
                <w:ilvl w:val="0"/>
                <w:numId w:val="1"/>
              </w:numPr>
              <w:spacing w:after="0" w:line="264"/>
            </w:pPr>
            <w:r>
              <w:rPr>
                <w:rFonts w:ascii="Calibri" w:cs="Calibri" w:eastAsia="Calibri" w:hAnsi="Calibri"/>
                <w:color w:val="233139"/>
                <w:sz w:val="21"/>
                <w:szCs w:val="21"/>
              </w:rPr>
              <w:t xml:space="preserve">Nach dem Workshop: Kontakt anbieten, konkrete nächste Schritte (Hausarzt, Krisendienst) benennen.</w:t>
            </w:r>
          </w:p>
        </w:tc>
      </w:tr>
    </w:tbl>
    <w:p>
      <w:pPr>
        <w:pStyle w:val="Heading2"/>
      </w:pPr>
      <w:r>
        <w:t xml:space="preserve">Wenn es Ihnen selbst zu viel wird</w:t>
      </w:r>
    </w:p>
    <w:p>
      <w:pPr>
        <w:spacing w:after="120" w:before="0" w:line="276"/>
      </w:pPr>
      <w:r>
        <w:rPr>
          <w:rFonts w:ascii="Calibri" w:cs="Calibri" w:eastAsia="Calibri" w:hAnsi="Calibri"/>
          <w:color w:val="233139"/>
          <w:sz w:val="21"/>
          <w:szCs w:val="21"/>
        </w:rPr>
        <w:t xml:space="preserve">Sie dürfen eine Pause ansetzen, ein Thema kürzen oder ehrlich sagen: „Das berührt mich gerade auch.“ Ihre Echtheit ist Teil der Wirkung. Sorgen Sie nach dem Workshop für Entlastung (siehe Kapitel 3).</w:t>
      </w:r>
    </w:p>
    <w:p>
      <w:r>
        <w:br w:type="page"/>
      </w:r>
    </w:p>
    <w:p>
      <w:pPr>
        <w:pStyle w:val="Heading1"/>
      </w:pPr>
      <w:r>
        <w:t xml:space="preserve">10  Anlaufstellen in Österreich</w:t>
      </w:r>
    </w:p>
    <w:tbl>
      <w:tblPr>
        <w:tblW w:type="dxa" w:w="9360"/>
        <w:tblBorders>
          <w:top w:val="single" w:color="F6ECE0" w:sz="2"/>
          <w:left w:val="single" w:color="B9793B" w:sz="18"/>
          <w:bottom w:val="single" w:color="F6ECE0" w:sz="2"/>
          <w:right w:val="single" w:color="F6ECE0" w:sz="2"/>
          <w:insideH w:val="none"/>
          <w:insideV w:val="none"/>
        </w:tblBorders>
      </w:tblPr>
      <w:tblGrid>
        <w:gridCol w:w="9360"/>
      </w:tblGrid>
      <w:tr>
        <w:tc>
          <w:tcPr>
            <w:tcW w:type="dxa" w:w="9360"/>
            <w:shd w:fill="F6ECE0" w:color="auto" w:val="clear"/>
            <w:tcMar>
              <w:top w:type="dxa" w:w="140"/>
              <w:left w:type="dxa" w:w="200"/>
              <w:bottom w:type="dxa" w:w="140"/>
              <w:right w:type="dxa" w:w="200"/>
            </w:tcMar>
          </w:tcPr>
          <w:p>
            <w:pPr>
              <w:spacing w:after="60"/>
            </w:pPr>
            <w:r>
              <w:rPr>
                <w:rFonts w:ascii="Cambria" w:cs="Cambria" w:eastAsia="Cambria" w:hAnsi="Cambria"/>
                <w:b/>
                <w:bCs/>
                <w:color w:val="B9793B"/>
                <w:sz w:val="22"/>
                <w:szCs w:val="22"/>
              </w:rPr>
              <w:t xml:space="preserve">Im Notfall / bei akuter Krise</w:t>
            </w:r>
          </w:p>
          <w:p>
            <w:pPr>
              <w:spacing w:after="40" w:before="0" w:line="276"/>
            </w:pPr>
            <w:r>
              <w:rPr>
                <w:rFonts w:ascii="Calibri" w:cs="Calibri" w:eastAsia="Calibri" w:hAnsi="Calibri"/>
                <w:b/>
                <w:bCs/>
                <w:color w:val="B9793B"/>
                <w:sz w:val="24"/>
                <w:szCs w:val="24"/>
              </w:rPr>
              <w:t xml:space="preserve">Rettung 144</w:t>
            </w:r>
            <w:r>
              <w:rPr>
                <w:rFonts w:ascii="Calibri" w:cs="Calibri" w:eastAsia="Calibri" w:hAnsi="Calibri"/>
                <w:color w:val="5E6E73"/>
                <w:sz w:val="21"/>
                <w:szCs w:val="21"/>
              </w:rPr>
              <w:t xml:space="preserve">   ·   </w:t>
            </w:r>
            <w:r>
              <w:rPr>
                <w:rFonts w:ascii="Calibri" w:cs="Calibri" w:eastAsia="Calibri" w:hAnsi="Calibri"/>
                <w:b/>
                <w:bCs/>
                <w:color w:val="B9793B"/>
                <w:sz w:val="24"/>
                <w:szCs w:val="24"/>
              </w:rPr>
              <w:t xml:space="preserve">Euronotruf 112</w:t>
            </w:r>
            <w:r>
              <w:rPr>
                <w:rFonts w:ascii="Calibri" w:cs="Calibri" w:eastAsia="Calibri" w:hAnsi="Calibri"/>
                <w:color w:val="5E6E73"/>
                <w:sz w:val="21"/>
                <w:szCs w:val="21"/>
              </w:rPr>
              <w:t xml:space="preserve">   ·   </w:t>
            </w:r>
            <w:r>
              <w:rPr>
                <w:rFonts w:ascii="Calibri" w:cs="Calibri" w:eastAsia="Calibri" w:hAnsi="Calibri"/>
                <w:b/>
                <w:bCs/>
                <w:color w:val="B9793B"/>
                <w:sz w:val="24"/>
                <w:szCs w:val="24"/>
              </w:rPr>
              <w:t xml:space="preserve">Telefonseelsorge 142</w:t>
            </w:r>
          </w:p>
          <w:p>
            <w:pPr>
              <w:spacing w:after="0" w:before="0" w:line="276"/>
            </w:pPr>
            <w:r>
              <w:rPr>
                <w:rFonts w:ascii="Calibri" w:cs="Calibri" w:eastAsia="Calibri" w:hAnsi="Calibri"/>
                <w:i/>
                <w:iCs/>
                <w:color w:val="5E6E73"/>
                <w:sz w:val="21"/>
                <w:szCs w:val="21"/>
              </w:rPr>
              <w:t xml:space="preserve">Telefonseelsorge 142: rund um die Uhr, kostenlos, anonym.</w:t>
            </w:r>
          </w:p>
        </w:tc>
      </w:tr>
    </w:tbl>
    <w:p>
      <w:pPr>
        <w:spacing w:after="80"/>
      </w:pPr>
    </w:p>
    <w:tbl>
      <w:tblPr>
        <w:tblW w:type="dxa" w:w="9360"/>
        <w:tblBorders>
          <w:top w:val="single" w:color="DCE6E3" w:sz="2"/>
          <w:left w:val="single" w:color="DCE6E3" w:sz="2"/>
          <w:bottom w:val="single" w:color="DCE6E3" w:sz="2"/>
          <w:right w:val="single" w:color="DCE6E3" w:sz="2"/>
          <w:insideH w:val="single" w:color="DCE6E3" w:sz="2"/>
          <w:insideV w:val="single" w:color="DCE6E3" w:sz="2"/>
        </w:tblBorders>
      </w:tblPr>
      <w:tblGrid>
        <w:gridCol w:w="3000"/>
        <w:gridCol w:w="2400"/>
        <w:gridCol w:w="3960"/>
      </w:tblGrid>
      <w:tr>
        <w:trPr>
          <w:tblHeader/>
        </w:trPr>
        <w:tc>
          <w:tcPr>
            <w:tcW w:type="dxa" w:w="30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Angebot</w:t>
            </w:r>
          </w:p>
        </w:tc>
        <w:tc>
          <w:tcPr>
            <w:tcW w:type="dxa" w:w="240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Kontakt</w:t>
            </w:r>
          </w:p>
        </w:tc>
        <w:tc>
          <w:tcPr>
            <w:tcW w:type="dxa" w:w="3960"/>
            <w:shd w:fill="2E4A52" w:color="auto"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Für wen / wann</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Telefonseelsorge</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142</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alle · 24 h · anonym, kostenlos</w:t>
            </w:r>
          </w:p>
        </w:tc>
      </w:tr>
      <w:tr>
        <w:tc>
          <w:tcPr>
            <w:tcW w:type="dxa" w:w="30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Rat auf Draht</w:t>
            </w:r>
          </w:p>
        </w:tc>
        <w:tc>
          <w:tcPr>
            <w:tcW w:type="dxa" w:w="24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147</w:t>
            </w:r>
          </w:p>
        </w:tc>
        <w:tc>
          <w:tcPr>
            <w:tcW w:type="dxa" w:w="39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Kinder &amp; Jugendliche · 24 h</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Ö3-Kummernummer</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116 123</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alle · tägl. 16–24 Uhr</w:t>
            </w:r>
          </w:p>
        </w:tc>
      </w:tr>
      <w:tr>
        <w:tc>
          <w:tcPr>
            <w:tcW w:type="dxa" w:w="30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pro mente Austria</w:t>
            </w:r>
          </w:p>
        </w:tc>
        <w:tc>
          <w:tcPr>
            <w:tcW w:type="dxa" w:w="24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promente-austria.at</w:t>
            </w:r>
          </w:p>
        </w:tc>
        <w:tc>
          <w:tcPr>
            <w:tcW w:type="dxa" w:w="39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psychosoziale Beratung &amp; Vereine, bundesweit</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HPE Österreich</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hpe.at</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Angehörige psychisch erkrankter Menschen</w:t>
            </w:r>
          </w:p>
        </w:tc>
      </w:tr>
      <w:tr>
        <w:tc>
          <w:tcPr>
            <w:tcW w:type="dxa" w:w="30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Kriseninterventionszentrum Wien</w:t>
            </w:r>
          </w:p>
        </w:tc>
        <w:tc>
          <w:tcPr>
            <w:tcW w:type="dxa" w:w="24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01 / 406 95 95</w:t>
            </w:r>
          </w:p>
        </w:tc>
        <w:tc>
          <w:tcPr>
            <w:tcW w:type="dxa" w:w="39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Krisen · Mo–Fr (Wien)</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Hausärztin / Hausarzt</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erste Anlaufstelle, Überweisung zu Fachärzt:innen/Therapie</w:t>
            </w:r>
          </w:p>
        </w:tc>
      </w:tr>
      <w:tr>
        <w:tc>
          <w:tcPr>
            <w:tcW w:type="dxa" w:w="3000"/>
            <w:shd w:fill="F1F5F3" w:color="auto" w:val="clear"/>
            <w:tcMar>
              <w:top w:type="dxa" w:w="70"/>
              <w:left w:type="dxa" w:w="120"/>
              <w:bottom w:type="dxa" w:w="70"/>
              <w:right w:type="dxa" w:w="120"/>
            </w:tcMar>
          </w:tcPr>
          <w:p>
            <w:pPr>
              <w:spacing w:after="0" w:line="250"/>
            </w:pPr>
            <w:r>
              <w:rPr>
                <w:rFonts w:ascii="Calibri" w:cs="Calibri" w:eastAsia="Calibri" w:hAnsi="Calibri"/>
                <w:b/>
                <w:bCs/>
                <w:color w:val="233139"/>
                <w:sz w:val="20"/>
                <w:szCs w:val="20"/>
              </w:rPr>
              <w:t xml:space="preserve">Psychosozialer Dienst / Krisendienst des Bundeslandes</w:t>
            </w:r>
          </w:p>
        </w:tc>
        <w:tc>
          <w:tcPr>
            <w:tcW w:type="dxa" w:w="240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regional</w:t>
            </w:r>
          </w:p>
        </w:tc>
        <w:tc>
          <w:tcPr>
            <w:tcW w:type="dxa" w:w="3960"/>
            <w:shd w:fill="F1F5F3" w:color="auto" w:val="clear"/>
            <w:tcMar>
              <w:top w:type="dxa" w:w="70"/>
              <w:left w:type="dxa" w:w="120"/>
              <w:bottom w:type="dxa" w:w="70"/>
              <w:right w:type="dxa" w:w="120"/>
            </w:tcMar>
          </w:tcPr>
          <w:p>
            <w:pPr>
              <w:spacing w:after="0" w:line="250"/>
            </w:pPr>
            <w:r>
              <w:rPr>
                <w:rFonts w:ascii="Calibri" w:cs="Calibri" w:eastAsia="Calibri" w:hAnsi="Calibri"/>
                <w:b w:val="false"/>
                <w:bCs w:val="false"/>
                <w:color w:val="233139"/>
                <w:sz w:val="20"/>
                <w:szCs w:val="20"/>
              </w:rPr>
              <w:t xml:space="preserve">regional ergänzen!</w:t>
            </w:r>
          </w:p>
        </w:tc>
      </w:tr>
    </w:tbl>
    <w:p>
      <w:pPr>
        <w:spacing w:after="120" w:before="0" w:line="276"/>
      </w:pPr>
      <w:r>
        <w:rPr>
          <w:rFonts w:ascii="Calibri" w:cs="Calibri" w:eastAsia="Calibri" w:hAnsi="Calibri"/>
          <w:b/>
          <w:bCs/>
          <w:color w:val="B9793B"/>
          <w:sz w:val="21"/>
          <w:szCs w:val="21"/>
        </w:rPr>
        <w:t xml:space="preserve">Bitte regional ergänzen: </w:t>
      </w:r>
      <w:r>
        <w:rPr>
          <w:rFonts w:ascii="Calibri" w:cs="Calibri" w:eastAsia="Calibri" w:hAnsi="Calibri"/>
          <w:color w:val="233139"/>
          <w:sz w:val="21"/>
          <w:szCs w:val="21"/>
        </w:rPr>
        <w:t xml:space="preserve">Fügen Sie die psychosozialen Dienste, Krisendienste und Selbsthilfegruppen Ihres Bundeslandes hinzu. Prüfen Sie Nummern und Öffnungszeiten vor jedem Workshop.</w:t>
      </w:r>
    </w:p>
    <w:p>
      <w:r>
        <w:br w:type="page"/>
      </w:r>
    </w:p>
    <w:p>
      <w:pPr>
        <w:pStyle w:val="Heading1"/>
      </w:pPr>
      <w:r>
        <w:t xml:space="preserve">11  Zahlen, Quellen &amp; Hinweise</w:t>
      </w:r>
    </w:p>
    <w:tbl>
      <w:tblPr>
        <w:tblW w:type="dxa" w:w="9360"/>
        <w:tblBorders>
          <w:top w:val="single" w:color="F6ECE0" w:sz="2"/>
          <w:left w:val="single" w:color="B9793B" w:sz="18"/>
          <w:bottom w:val="single" w:color="F6ECE0" w:sz="2"/>
          <w:right w:val="single" w:color="F6ECE0" w:sz="2"/>
          <w:insideH w:val="none"/>
          <w:insideV w:val="none"/>
        </w:tblBorders>
      </w:tblPr>
      <w:tblGrid>
        <w:gridCol w:w="9360"/>
      </w:tblGrid>
      <w:tr>
        <w:tc>
          <w:tcPr>
            <w:tcW w:type="dxa" w:w="9360"/>
            <w:shd w:fill="F6ECE0" w:color="auto" w:val="clear"/>
            <w:tcMar>
              <w:top w:type="dxa" w:w="140"/>
              <w:left w:type="dxa" w:w="200"/>
              <w:bottom w:type="dxa" w:w="140"/>
              <w:right w:type="dxa" w:w="200"/>
            </w:tcMar>
          </w:tcPr>
          <w:p>
            <w:pPr>
              <w:spacing w:after="60"/>
            </w:pPr>
            <w:r>
              <w:rPr>
                <w:rFonts w:ascii="Cambria" w:cs="Cambria" w:eastAsia="Cambria" w:hAnsi="Cambria"/>
                <w:b/>
                <w:bCs/>
                <w:color w:val="B9793B"/>
                <w:sz w:val="22"/>
                <w:szCs w:val="22"/>
              </w:rPr>
              <w:t xml:space="preserve">Wichtiger Hinweis zu den Zahlen</w:t>
            </w:r>
          </w:p>
          <w:p>
            <w:pPr>
              <w:spacing w:after="0" w:before="0" w:line="276"/>
            </w:pPr>
            <w:r>
              <w:rPr>
                <w:rFonts w:ascii="Calibri" w:cs="Calibri" w:eastAsia="Calibri" w:hAnsi="Calibri"/>
                <w:color w:val="233139"/>
                <w:sz w:val="21"/>
                <w:szCs w:val="21"/>
              </w:rPr>
              <w:t xml:space="preserve">Die im Foliensatz genannten Zahlen (z. B. „ca. jede vierte Person pro Jahr“, „~730.000 Menschen mit Depression“) sind gerundete Größenordnungen, die die Dimension verdeutlichen sollen. Nennen Sie sie als Größenordnung, nicht auf die Kommastelle. Prüfen und aktualisieren Sie sie vor dem Einsatz anhand aktueller Quellen.</w:t>
            </w:r>
          </w:p>
        </w:tc>
      </w:tr>
    </w:tbl>
    <w:p>
      <w:pPr>
        <w:pStyle w:val="Heading2"/>
      </w:pPr>
      <w:r>
        <w:t xml:space="preserve">Empfohlene Quellen (Österreich)</w:t>
      </w:r>
    </w:p>
    <w:p>
      <w:pPr>
        <w:pStyle w:val="ListParagraph"/>
        <w:numPr>
          <w:ilvl w:val="0"/>
          <w:numId w:val="1"/>
        </w:numPr>
        <w:spacing w:after="70" w:line="264"/>
      </w:pPr>
      <w:r>
        <w:rPr>
          <w:rFonts w:ascii="Calibri" w:cs="Calibri" w:eastAsia="Calibri" w:hAnsi="Calibri"/>
          <w:color w:val="233139"/>
          <w:sz w:val="21"/>
          <w:szCs w:val="21"/>
        </w:rPr>
        <w:t xml:space="preserve">Gesundheit Österreich GmbH (GÖG) – Berichte zur psychischen Gesundheit</w:t>
      </w:r>
    </w:p>
    <w:p>
      <w:pPr>
        <w:pStyle w:val="ListParagraph"/>
        <w:numPr>
          <w:ilvl w:val="0"/>
          <w:numId w:val="1"/>
        </w:numPr>
        <w:spacing w:after="70" w:line="264"/>
      </w:pPr>
      <w:r>
        <w:rPr>
          <w:rFonts w:ascii="Calibri" w:cs="Calibri" w:eastAsia="Calibri" w:hAnsi="Calibri"/>
          <w:color w:val="233139"/>
          <w:sz w:val="21"/>
          <w:szCs w:val="21"/>
        </w:rPr>
        <w:t xml:space="preserve">Statistik Austria – Gesundheitsbefragung, Sterbestatistik</w:t>
      </w:r>
    </w:p>
    <w:p>
      <w:pPr>
        <w:pStyle w:val="ListParagraph"/>
        <w:numPr>
          <w:ilvl w:val="0"/>
          <w:numId w:val="1"/>
        </w:numPr>
        <w:spacing w:after="70" w:line="264"/>
      </w:pPr>
      <w:r>
        <w:rPr>
          <w:rFonts w:ascii="Calibri" w:cs="Calibri" w:eastAsia="Calibri" w:hAnsi="Calibri"/>
          <w:color w:val="233139"/>
          <w:sz w:val="21"/>
          <w:szCs w:val="21"/>
        </w:rPr>
        <w:t xml:space="preserve">pro mente Austria – Dachverband der psychosozialen Vereine</w:t>
      </w:r>
    </w:p>
    <w:p>
      <w:pPr>
        <w:pStyle w:val="ListParagraph"/>
        <w:numPr>
          <w:ilvl w:val="0"/>
          <w:numId w:val="1"/>
        </w:numPr>
        <w:spacing w:after="70" w:line="264"/>
      </w:pPr>
      <w:r>
        <w:rPr>
          <w:rFonts w:ascii="Calibri" w:cs="Calibri" w:eastAsia="Calibri" w:hAnsi="Calibri"/>
          <w:color w:val="233139"/>
          <w:sz w:val="21"/>
          <w:szCs w:val="21"/>
        </w:rPr>
        <w:t xml:space="preserve">Österreichische Gesellschaft für Psychiatrie, Psychotherapie und Psychosomatik (ÖGPP)</w:t>
      </w:r>
    </w:p>
    <w:p>
      <w:pPr>
        <w:pStyle w:val="ListParagraph"/>
        <w:numPr>
          <w:ilvl w:val="0"/>
          <w:numId w:val="1"/>
        </w:numPr>
        <w:spacing w:after="70" w:line="264"/>
      </w:pPr>
      <w:r>
        <w:rPr>
          <w:rFonts w:ascii="Calibri" w:cs="Calibri" w:eastAsia="Calibri" w:hAnsi="Calibri"/>
          <w:color w:val="233139"/>
          <w:sz w:val="21"/>
          <w:szCs w:val="21"/>
        </w:rPr>
        <w:t xml:space="preserve">Bundesministerium für Soziales, Gesundheit, Pflege und Konsumentenschutz (Sozialministerium)</w:t>
      </w:r>
    </w:p>
    <w:p>
      <w:pPr>
        <w:pStyle w:val="ListParagraph"/>
        <w:numPr>
          <w:ilvl w:val="0"/>
          <w:numId w:val="1"/>
        </w:numPr>
        <w:spacing w:after="70" w:line="264"/>
      </w:pPr>
      <w:r>
        <w:rPr>
          <w:rFonts w:ascii="Calibri" w:cs="Calibri" w:eastAsia="Calibri" w:hAnsi="Calibri"/>
          <w:color w:val="233139"/>
          <w:sz w:val="21"/>
          <w:szCs w:val="21"/>
        </w:rPr>
        <w:t xml:space="preserve">WHO – Berichte zu Depression und Angststörungen (internationale Einordnung)</w:t>
      </w:r>
    </w:p>
    <w:p>
      <w:pPr>
        <w:pStyle w:val="Heading2"/>
      </w:pPr>
      <w:r>
        <w:t xml:space="preserve">Weiterführend für Teilnehmende</w:t>
      </w:r>
    </w:p>
    <w:p>
      <w:pPr>
        <w:pStyle w:val="ListParagraph"/>
        <w:numPr>
          <w:ilvl w:val="0"/>
          <w:numId w:val="1"/>
        </w:numPr>
        <w:spacing w:after="70" w:line="264"/>
      </w:pPr>
      <w:r>
        <w:rPr>
          <w:rFonts w:ascii="Calibri" w:cs="Calibri" w:eastAsia="Calibri" w:hAnsi="Calibri"/>
          <w:color w:val="233139"/>
          <w:sz w:val="21"/>
          <w:szCs w:val="21"/>
        </w:rPr>
        <w:t xml:space="preserve">„Gesund aus der Krise“ – kostenlose psychologische/psychotherapeutische Hilfe für junge Menschen (Österreich)</w:t>
      </w:r>
    </w:p>
    <w:p>
      <w:pPr>
        <w:pStyle w:val="ListParagraph"/>
        <w:numPr>
          <w:ilvl w:val="0"/>
          <w:numId w:val="1"/>
        </w:numPr>
        <w:spacing w:after="70" w:line="264"/>
      </w:pPr>
      <w:r>
        <w:rPr>
          <w:rFonts w:ascii="Calibri" w:cs="Calibri" w:eastAsia="Calibri" w:hAnsi="Calibri"/>
          <w:color w:val="233139"/>
          <w:sz w:val="21"/>
          <w:szCs w:val="21"/>
        </w:rPr>
        <w:t xml:space="preserve">Selbsthilfe-Dachverbände der Bundesländer (Verzeichnisse regionaler Gruppen)</w:t>
      </w:r>
    </w:p>
    <w:p>
      <w:pPr>
        <w:pStyle w:val="ListParagraph"/>
        <w:numPr>
          <w:ilvl w:val="0"/>
          <w:numId w:val="1"/>
        </w:numPr>
        <w:spacing w:after="70" w:line="264"/>
      </w:pPr>
      <w:r>
        <w:rPr>
          <w:rFonts w:ascii="Calibri" w:cs="Calibri" w:eastAsia="Calibri" w:hAnsi="Calibri"/>
          <w:color w:val="233139"/>
          <w:sz w:val="21"/>
          <w:szCs w:val="21"/>
        </w:rPr>
        <w:t xml:space="preserve">Broschüren von pro mente und Krankenkassen zur Psychoedukation</w:t>
      </w:r>
    </w:p>
    <w:p>
      <w:pPr>
        <w:pBdr>
          <w:bottom w:val="single" w:color="DCE6E3" w:sz="6" w:space="4"/>
        </w:pBdr>
        <w:spacing w:after="120"/>
      </w:pPr>
    </w:p>
    <w:p>
      <w:pPr>
        <w:spacing w:after="120" w:before="0" w:line="276"/>
      </w:pPr>
      <w:r>
        <w:rPr>
          <w:rFonts w:ascii="Calibri" w:cs="Calibri" w:eastAsia="Calibri" w:hAnsi="Calibri"/>
          <w:i/>
          <w:iCs/>
          <w:color w:val="5E6E73"/>
          <w:sz w:val="18"/>
          <w:szCs w:val="18"/>
        </w:rPr>
        <w:t xml:space="preserve">Erstellt als einsatzfertige Seminarunterlage zur Nutzung unter dem Namen des Referenten. </w:t>
      </w:r>
      <w:r>
        <w:rPr>
          <w:rFonts w:ascii="Calibri" w:cs="Calibri" w:eastAsia="Calibri" w:hAnsi="Calibri"/>
          <w:i/>
          <w:iCs/>
          <w:color w:val="5E6E73"/>
          <w:sz w:val="18"/>
          <w:szCs w:val="18"/>
        </w:rPr>
        <w:t xml:space="preserve">Psychoedukation – ersetzt keine Diagnose oder Therapie.</w:t>
      </w:r>
    </w:p>
    <w:p>
      <w:r>
        <w:br w:type="page"/>
      </w:r>
    </w:p>
    <w:p>
      <w:pPr>
        <w:pStyle w:val="Heading1"/>
      </w:pPr>
      <w:r>
        <w:t xml:space="preserve">12  Anhang: Checkliste vor dem Workshop</w:t>
      </w:r>
    </w:p>
    <w:p>
      <w:pPr>
        <w:pStyle w:val="Heading2"/>
      </w:pPr>
      <w:r>
        <w:t xml:space="preserve">Eine Woche vorher</w:t>
      </w:r>
    </w:p>
    <w:p>
      <w:pPr>
        <w:pStyle w:val="ListParagraph"/>
        <w:numPr>
          <w:ilvl w:val="0"/>
          <w:numId w:val="1"/>
        </w:numPr>
        <w:spacing w:after="70" w:line="264"/>
      </w:pPr>
      <w:r>
        <w:rPr>
          <w:rFonts w:ascii="Calibri" w:cs="Calibri" w:eastAsia="Calibri" w:hAnsi="Calibri"/>
          <w:color w:val="233139"/>
          <w:sz w:val="21"/>
          <w:szCs w:val="21"/>
        </w:rPr>
        <w:t xml:space="preserve">Zahlen &amp; Anlaufstellen auf Aktualität prüfen, regionale Stellen ergänzen</w:t>
      </w:r>
    </w:p>
    <w:p>
      <w:pPr>
        <w:pStyle w:val="ListParagraph"/>
        <w:numPr>
          <w:ilvl w:val="0"/>
          <w:numId w:val="1"/>
        </w:numPr>
        <w:spacing w:after="70" w:line="264"/>
      </w:pPr>
      <w:r>
        <w:rPr>
          <w:rFonts w:ascii="Calibri" w:cs="Calibri" w:eastAsia="Calibri" w:hAnsi="Calibri"/>
          <w:color w:val="233139"/>
          <w:sz w:val="21"/>
          <w:szCs w:val="21"/>
        </w:rPr>
        <w:t xml:space="preserve">Persönliche Beispiele festlegen (Folien 2, 14, 23, 36) – und die eigene Grenze</w:t>
      </w:r>
    </w:p>
    <w:p>
      <w:pPr>
        <w:pStyle w:val="ListParagraph"/>
        <w:numPr>
          <w:ilvl w:val="0"/>
          <w:numId w:val="1"/>
        </w:numPr>
        <w:spacing w:after="70" w:line="264"/>
      </w:pPr>
      <w:r>
        <w:rPr>
          <w:rFonts w:ascii="Calibri" w:cs="Calibri" w:eastAsia="Calibri" w:hAnsi="Calibri"/>
          <w:color w:val="233139"/>
          <w:sz w:val="21"/>
          <w:szCs w:val="21"/>
        </w:rPr>
        <w:t xml:space="preserve">Kopiervorlagen drucken (Anzahl = Teilnehmerzahl + Reserve)</w:t>
      </w:r>
    </w:p>
    <w:p>
      <w:pPr>
        <w:pStyle w:val="ListParagraph"/>
        <w:numPr>
          <w:ilvl w:val="0"/>
          <w:numId w:val="1"/>
        </w:numPr>
        <w:spacing w:after="70" w:line="264"/>
      </w:pPr>
      <w:r>
        <w:rPr>
          <w:rFonts w:ascii="Calibri" w:cs="Calibri" w:eastAsia="Calibri" w:hAnsi="Calibri"/>
          <w:color w:val="233139"/>
          <w:sz w:val="21"/>
          <w:szCs w:val="21"/>
        </w:rPr>
        <w:t xml:space="preserve">Foliensatz mit Sprechernotizen durchgehen</w:t>
      </w:r>
    </w:p>
    <w:p>
      <w:pPr>
        <w:pStyle w:val="Heading2"/>
      </w:pPr>
      <w:r>
        <w:t xml:space="preserve">Am Tag</w:t>
      </w:r>
    </w:p>
    <w:p>
      <w:pPr>
        <w:pStyle w:val="ListParagraph"/>
        <w:numPr>
          <w:ilvl w:val="0"/>
          <w:numId w:val="1"/>
        </w:numPr>
        <w:spacing w:after="70" w:line="264"/>
      </w:pPr>
      <w:r>
        <w:rPr>
          <w:rFonts w:ascii="Calibri" w:cs="Calibri" w:eastAsia="Calibri" w:hAnsi="Calibri"/>
          <w:color w:val="233139"/>
          <w:sz w:val="21"/>
          <w:szCs w:val="21"/>
        </w:rPr>
        <w:t xml:space="preserve">Technik testen (Beamer, Notizansicht), Raum stellen (Kreis/Inseln)</w:t>
      </w:r>
    </w:p>
    <w:p>
      <w:pPr>
        <w:pStyle w:val="ListParagraph"/>
        <w:numPr>
          <w:ilvl w:val="0"/>
          <w:numId w:val="1"/>
        </w:numPr>
        <w:spacing w:after="70" w:line="264"/>
      </w:pPr>
      <w:r>
        <w:rPr>
          <w:rFonts w:ascii="Calibri" w:cs="Calibri" w:eastAsia="Calibri" w:hAnsi="Calibri"/>
          <w:color w:val="233139"/>
          <w:sz w:val="21"/>
          <w:szCs w:val="21"/>
        </w:rPr>
        <w:t xml:space="preserve">Flipchart, Karten, Stifte, Wasser, Taschentücher bereitstellen</w:t>
      </w:r>
    </w:p>
    <w:p>
      <w:pPr>
        <w:pStyle w:val="ListParagraph"/>
        <w:numPr>
          <w:ilvl w:val="0"/>
          <w:numId w:val="1"/>
        </w:numPr>
        <w:spacing w:after="70" w:line="264"/>
      </w:pPr>
      <w:r>
        <w:rPr>
          <w:rFonts w:ascii="Calibri" w:cs="Calibri" w:eastAsia="Calibri" w:hAnsi="Calibri"/>
          <w:color w:val="233139"/>
          <w:sz w:val="21"/>
          <w:szCs w:val="21"/>
        </w:rPr>
        <w:t xml:space="preserve">Anlaufstellen sichtbar aushängen</w:t>
      </w:r>
    </w:p>
    <w:p>
      <w:pPr>
        <w:pStyle w:val="ListParagraph"/>
        <w:numPr>
          <w:ilvl w:val="0"/>
          <w:numId w:val="1"/>
        </w:numPr>
        <w:spacing w:after="70" w:line="264"/>
      </w:pPr>
      <w:r>
        <w:rPr>
          <w:rFonts w:ascii="Calibri" w:cs="Calibri" w:eastAsia="Calibri" w:hAnsi="Calibri"/>
          <w:color w:val="233139"/>
          <w:sz w:val="21"/>
          <w:szCs w:val="21"/>
        </w:rPr>
        <w:t xml:space="preserve">Selbst ankommen: 15 Minuten Ruhe vor Beginn</w:t>
      </w:r>
    </w:p>
    <w:p>
      <w:pPr>
        <w:pStyle w:val="Heading2"/>
      </w:pPr>
      <w:r>
        <w:t xml:space="preserve">Danach</w:t>
      </w:r>
    </w:p>
    <w:p>
      <w:pPr>
        <w:pStyle w:val="ListParagraph"/>
        <w:numPr>
          <w:ilvl w:val="0"/>
          <w:numId w:val="1"/>
        </w:numPr>
        <w:spacing w:after="70" w:line="264"/>
      </w:pPr>
      <w:r>
        <w:rPr>
          <w:rFonts w:ascii="Calibri" w:cs="Calibri" w:eastAsia="Calibri" w:hAnsi="Calibri"/>
          <w:color w:val="233139"/>
          <w:sz w:val="21"/>
          <w:szCs w:val="21"/>
        </w:rPr>
        <w:t xml:space="preserve">Reflexionsbögen (falls eingesammelt) und Feedback sichten</w:t>
      </w:r>
    </w:p>
    <w:p>
      <w:pPr>
        <w:pStyle w:val="ListParagraph"/>
        <w:numPr>
          <w:ilvl w:val="0"/>
          <w:numId w:val="1"/>
        </w:numPr>
        <w:spacing w:after="70" w:line="264"/>
      </w:pPr>
      <w:r>
        <w:rPr>
          <w:rFonts w:ascii="Calibri" w:cs="Calibri" w:eastAsia="Calibri" w:hAnsi="Calibri"/>
          <w:color w:val="233139"/>
          <w:sz w:val="21"/>
          <w:szCs w:val="21"/>
        </w:rPr>
        <w:t xml:space="preserve">Für Betroffene, die sich gemeldet haben, Kontakt/Verweis nachhalten</w:t>
      </w:r>
    </w:p>
    <w:p>
      <w:pPr>
        <w:pStyle w:val="ListParagraph"/>
        <w:numPr>
          <w:ilvl w:val="0"/>
          <w:numId w:val="1"/>
        </w:numPr>
        <w:spacing w:after="70" w:line="264"/>
      </w:pPr>
      <w:r>
        <w:rPr>
          <w:rFonts w:ascii="Calibri" w:cs="Calibri" w:eastAsia="Calibri" w:hAnsi="Calibri"/>
          <w:color w:val="233139"/>
          <w:sz w:val="21"/>
          <w:szCs w:val="21"/>
        </w:rPr>
        <w:t xml:space="preserve">Eigene Entlastung: Vertrauensperson, Bewegung, Abstand</w:t>
      </w:r>
    </w:p>
    <w:sectPr>
      <w:headerReference w:type="default" r:id="rId7"/>
      <w:footerReference w:type="default" r:id="rId8"/>
      <w:pgSz w:w="11906" w:h="16838"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6E73"/>
        <w:sz w:val="16"/>
        <w:szCs w:val="16"/>
      </w:rPr>
      <w:t xml:space="preserve">Seite </w:t>
    </w:r>
    <w:r>
      <w:rPr>
        <w:rFonts w:ascii="Calibri" w:cs="Calibri" w:eastAsia="Calibri" w:hAnsi="Calibri"/>
        <w:color w:val="5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E3" w:sz="4" w:space="4"/>
      </w:pBdr>
      <w:spacing w:after="0"/>
      <w:jc w:val="right"/>
    </w:pPr>
    <w:r>
      <w:rPr>
        <w:rFonts w:ascii="Calibri" w:cs="Calibri" w:eastAsia="Calibri" w:hAnsi="Calibri"/>
        <w:color w:val="5E6E73"/>
        <w:sz w:val="16"/>
        <w:szCs w:val="16"/>
      </w:rPr>
      <w:t xml:space="preserve">„Man sieht es mir nicht an“ · Trainerhandbuch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13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2E4A52"/>
      <w:sz w:val="52"/>
      <w:szCs w:val="52"/>
    </w:rPr>
  </w:style>
  <w:style w:type="paragraph" w:styleId="Subtitle">
    <w:name w:val="Subtitle"/>
    <w:basedOn w:val="Normal"/>
    <w:next w:val="Normal"/>
    <w:pPr>
      <w:spacing w:after="240"/>
    </w:pPr>
    <w:rPr>
      <w:rFonts w:ascii="Cambria" w:cs="Cambria" w:eastAsia="Cambria" w:hAnsi="Cambria"/>
      <w:i/>
      <w:iCs/>
      <w:color w:val="3F7C79"/>
      <w:sz w:val="26"/>
      <w:szCs w:val="26"/>
    </w:rPr>
  </w:style>
  <w:style w:type="paragraph" w:styleId="Heading1">
    <w:name w:val="Heading 1"/>
    <w:basedOn w:val="Normal"/>
    <w:next w:val="Normal"/>
    <w:qFormat/>
    <w:pPr>
      <w:keepNext/>
      <w:pBdr>
        <w:bottom w:val="single" w:color="DCE6E3" w:sz="8" w:space="6"/>
      </w:pBdr>
      <w:spacing w:after="140" w:before="320"/>
    </w:pPr>
    <w:rPr>
      <w:rFonts w:ascii="Cambria" w:cs="Cambria" w:eastAsia="Cambria" w:hAnsi="Cambria"/>
      <w:b/>
      <w:bCs/>
      <w:color w:val="2E4A52"/>
      <w:sz w:val="30"/>
      <w:szCs w:val="30"/>
    </w:rPr>
  </w:style>
  <w:style w:type="paragraph" w:styleId="Heading2">
    <w:name w:val="Heading 2"/>
    <w:basedOn w:val="Normal"/>
    <w:next w:val="Normal"/>
    <w:qFormat/>
    <w:pPr>
      <w:keepNext/>
      <w:spacing w:after="100" w:before="240"/>
    </w:pPr>
    <w:rPr>
      <w:rFonts w:ascii="Cambria" w:cs="Cambria" w:eastAsia="Cambria" w:hAnsi="Cambria"/>
      <w:b/>
      <w:bCs/>
      <w:color w:val="3F7C79"/>
      <w:sz w:val="24"/>
      <w:szCs w:val="24"/>
    </w:rPr>
  </w:style>
  <w:style w:type="paragraph" w:styleId="Heading3">
    <w:name w:val="Heading 3"/>
    <w:basedOn w:val="Normal"/>
    <w:next w:val="Normal"/>
    <w:qFormat/>
    <w:pPr>
      <w:keepNext/>
      <w:spacing w:after="80" w:before="160"/>
    </w:pPr>
    <w:rPr>
      <w:rFonts w:ascii="Cambria" w:cs="Cambria" w:eastAsia="Cambria" w:hAnsi="Cambria"/>
      <w:b/>
      <w:bCs/>
      <w:color w:val="B979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Trainerhandbuch – Man sieht es mir nicht an</dc:title>
  <dc:creator>Erlebnis-Workshop Psychische Gesundheit</dc:creator>
  <cp:lastModifiedBy>Un-named</cp:lastModifiedBy>
  <cp:revision>1</cp:revision>
  <dcterms:created xsi:type="dcterms:W3CDTF">2026-07-23T13:05:14.798Z</dcterms:created>
  <dcterms:modified xsi:type="dcterms:W3CDTF">2026-07-23T13:05:14.798Z</dcterms:modified>
</cp:coreProperties>
</file>

<file path=docProps/custom.xml><?xml version="1.0" encoding="utf-8"?>
<Properties xmlns="http://schemas.openxmlformats.org/officeDocument/2006/custom-properties" xmlns:vt="http://schemas.openxmlformats.org/officeDocument/2006/docPropsVTypes"/>
</file>