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hn0lq6cy5w0" w:id="0"/>
      <w:bookmarkEnd w:id="0"/>
      <w:r w:rsidDel="00000000" w:rsidR="00000000" w:rsidRPr="00000000">
        <w:rPr>
          <w:rtl w:val="0"/>
        </w:rPr>
        <w:t xml:space="preserve">build.icor.md — Addendum B: chassis decision, schema extension &amp; migration bootstrap</w:t>
      </w:r>
    </w:p>
    <w:p w:rsidR="00000000" w:rsidDel="00000000" w:rsidP="00000000" w:rsidRDefault="00000000" w:rsidRPr="00000000" w14:paraId="00000002">
      <w:pPr>
        <w:pStyle w:val="Heading2"/>
        <w:rPr/>
      </w:pPr>
      <w:bookmarkStart w:colFirst="0" w:colLast="0" w:name="_trkohqwtt60x" w:id="1"/>
      <w:bookmarkEnd w:id="1"/>
      <w:r w:rsidDel="00000000" w:rsidR="00000000" w:rsidRPr="00000000">
        <w:rPr>
          <w:rtl w:val="0"/>
        </w:rPr>
        <w:t xml:space="preserve">Metadata</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Type: Addendum to build.icor.md (v0.1 + Addendum A) — records the joint Claude/GPT architectural position of 2026-07-03 and the agreed migration approach</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Status: To be merged into build.icor.md by Fusion, then this file archived. Chassis decision is accepted; schema/import details remain gated work per F247 rules — logged here so nothing is lost, not to bypass the decision log.</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Created: 2026-07-03 by Claude (mobile session with Warwick; cross-checked against GPT's position paper of same date)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Evidence quality: Direct — myPKA v4.1.1 scaffold files read from Drive (WS-002, AGENTS.md, CLAUDE.md, ADAPTER-PROMPT.md, CHANGELOG, LICENSE-MAP, Cockpit connector source), F247 template docs, F247 Brain PRD, build.icor.md v0.1, Addendum A</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Merge instruction: fold B1–B8 into build.icor.md; B9 is the Codex bootstrap and may live as its own file (suggested: 00_System/governance/migration-runbook.md)</w:t>
      </w:r>
    </w:p>
    <w:p w:rsidR="00000000" w:rsidDel="00000000" w:rsidP="00000000" w:rsidRDefault="00000000" w:rsidRPr="00000000" w14:paraId="00000008">
      <w:pPr>
        <w:pStyle w:val="Heading2"/>
        <w:rPr/>
      </w:pPr>
      <w:bookmarkStart w:colFirst="0" w:colLast="0" w:name="_9ewon4rznhnn" w:id="2"/>
      <w:bookmarkEnd w:id="2"/>
      <w:r w:rsidDel="00000000" w:rsidR="00000000" w:rsidRPr="00000000">
        <w:rPr>
          <w:rtl w:val="0"/>
        </w:rPr>
        <w:t xml:space="preserve">B0. Headline decision (Accepted chassis; gated details)</w:t>
      </w:r>
    </w:p>
    <w:p w:rsidR="00000000" w:rsidDel="00000000" w:rsidP="00000000" w:rsidRDefault="00000000" w:rsidRPr="00000000" w14:paraId="00000009">
      <w:pPr>
        <w:rPr/>
      </w:pPr>
      <w:r w:rsidDel="00000000" w:rsidR="00000000" w:rsidRPr="00000000">
        <w:rPr>
          <w:b w:val="1"/>
          <w:bCs w:val="1"/>
          <w:rtl w:val="0"/>
        </w:rPr>
        <w:t xml:space="preserve">At migration, adopt the myPKA scaffold as the runtime chassis. Port F247's governance and knowledge into it. Do not hand-build a new scaffold from the PRD.</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Rationale: every F247 differentiator worth keeping is document-level (decision taxonomy, provenance discipline, immutable sources, source classification, external multi-model QA, PRD/baseline governance) and ports as markdown files and rules. Everything F247 would otherwise have to build is runtime-level (task state machine, adapter prompts, session mechanics, migration recipes, validation scripts, SQLite conversion, Cockpit) — already built, maintained, free, and designed to be extended via the hiring process. Claude and GPT reached this position independently on 2026-07-03 and agree.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satisfies the PRD directly: Phase 1 (local markdown folder, git, raw archive, decision logs) is what the scaffold IS; Phase 2 capture/classification maps to Penn + WS-002; Phase 3 execution maps to the task system + Cockpit connectors. The PRD's guiding principles (human ownership, markdown first, immutable raw sources, living knowledge with provenance, explainability, interchangeable AI collaborators) are all natively supported or strengthened. Where this addendum and the PRD's control documents conflict, the control documents take precedence per the PRD status note.</w:t>
      </w:r>
    </w:p>
    <w:p w:rsidR="00000000" w:rsidDel="00000000" w:rsidP="00000000" w:rsidRDefault="00000000" w:rsidRPr="00000000" w14:paraId="0000000E">
      <w:pPr>
        <w:pStyle w:val="Heading2"/>
        <w:rPr/>
      </w:pPr>
      <w:bookmarkStart w:colFirst="0" w:colLast="0" w:name="_guzihmqhlu24" w:id="3"/>
      <w:bookmarkEnd w:id="3"/>
      <w:r w:rsidDel="00000000" w:rsidR="00000000" w:rsidRPr="00000000">
        <w:rPr>
          <w:rtl w:val="0"/>
        </w:rPr>
        <w:t xml:space="preserve">B1. Scope clarification (corrects an error in the 2026-07-03 Claude mobile session)</w:t>
      </w:r>
    </w:p>
    <w:p w:rsidR="00000000" w:rsidDel="00000000" w:rsidP="00000000" w:rsidRDefault="00000000" w:rsidRPr="00000000" w14:paraId="0000000F">
      <w:pPr>
        <w:rPr/>
      </w:pPr>
      <w:r w:rsidDel="00000000" w:rsidR="00000000" w:rsidRPr="00000000">
        <w:rPr>
          <w:rtl w:val="0"/>
        </w:rPr>
        <w:t xml:space="preserve">Fusion247-Brain manages </w:t>
      </w:r>
      <w:r w:rsidDel="00000000" w:rsidR="00000000" w:rsidRPr="00000000">
        <w:rPr>
          <w:b w:val="1"/>
          <w:bCs w:val="1"/>
          <w:rtl w:val="0"/>
        </w:rPr>
        <w:t xml:space="preserve">Warwick's own work projects personally</w:t>
      </w:r>
      <w:r w:rsidDel="00000000" w:rsidR="00000000" w:rsidRPr="00000000">
        <w:rPr>
          <w:rtl w:val="0"/>
        </w:rPr>
        <w:t xml:space="preserve"> — one human, one vault, personal + work knowledge. It is NOT enterprise PMO software for Bellrock. An earlier Claude assessment that F247's project structure "architecturally won't work" inside myPKA was made against the wrong bar and is </w:t>
      </w:r>
      <w:r w:rsidDel="00000000" w:rsidR="00000000" w:rsidRPr="00000000">
        <w:rPr>
          <w:b w:val="1"/>
          <w:bCs w:val="1"/>
          <w:rtl w:val="0"/>
        </w:rPr>
        <w:t xml:space="preserve">retracted</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Wikilinks are folder-depth-agnostic. Nested project folders (e.g. </w:t>
      </w:r>
      <w:r w:rsidDel="00000000" w:rsidR="00000000" w:rsidRPr="00000000">
        <w:rPr>
          <w:rFonts w:ascii="Roboto Mono" w:cs="Roboto Mono" w:eastAsia="Roboto Mono" w:hAnsi="Roboto Mono"/>
          <w:color w:val="188038"/>
          <w:rtl w:val="0"/>
        </w:rPr>
        <w:t xml:space="preserve">PKM/My Life/Projects/BRK-001-north-bristol/</w:t>
      </w:r>
      <w:r w:rsidDel="00000000" w:rsidR="00000000" w:rsidRPr="00000000">
        <w:rPr>
          <w:rtl w:val="0"/>
        </w:rPr>
        <w:t xml:space="preserve"> containing risk-register.md, decision-log.md, work packages) are structurally fine. myPKA itself nests (</w:t>
      </w:r>
      <w:r w:rsidDel="00000000" w:rsidR="00000000" w:rsidRPr="00000000">
        <w:rPr>
          <w:rFonts w:ascii="Roboto Mono" w:cs="Roboto Mono" w:eastAsia="Roboto Mono" w:hAnsi="Roboto Mono"/>
          <w:color w:val="188038"/>
          <w:rtl w:val="0"/>
        </w:rPr>
        <w:t xml:space="preserve">Team Knowledge/session-logs/YYYY/MM/</w:t>
      </w:r>
      <w:r w:rsidDel="00000000" w:rsidR="00000000" w:rsidRPr="00000000">
        <w:rPr>
          <w:rtl w:val="0"/>
        </w:rPr>
        <w:t xml:space="preserve">).</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The 8-entity schema not covering Risk/Work Package/Decision/Change is not a wall; schema extension via Guideline edit is the scaffold's own documented path (WS-002 §"What this Workstream does not do" — raise it, propose a Guideline edit; never invent ad-hoc YAML).</w:t>
      </w:r>
    </w:p>
    <w:p w:rsidR="00000000" w:rsidDel="00000000" w:rsidP="00000000" w:rsidRDefault="00000000" w:rsidRPr="00000000" w14:paraId="00000013">
      <w:pPr>
        <w:pStyle w:val="Heading2"/>
        <w:rPr/>
      </w:pPr>
      <w:bookmarkStart w:colFirst="0" w:colLast="0" w:name="_fni4f866zjcp" w:id="4"/>
      <w:bookmarkEnd w:id="4"/>
      <w:r w:rsidDel="00000000" w:rsidR="00000000" w:rsidRPr="00000000">
        <w:rPr>
          <w:rtl w:val="0"/>
        </w:rPr>
        <w:t xml:space="preserve">B2. Fork discipline (the risk containment)</w:t>
      </w:r>
    </w:p>
    <w:p w:rsidR="00000000" w:rsidDel="00000000" w:rsidP="00000000" w:rsidRDefault="00000000" w:rsidRPr="00000000" w14:paraId="00000014">
      <w:pPr>
        <w:numPr>
          <w:ilvl w:val="0"/>
          <w:numId w:val="1"/>
        </w:numPr>
        <w:ind w:left="720" w:hanging="360"/>
      </w:pPr>
      <w:r w:rsidDel="00000000" w:rsidR="00000000" w:rsidRPr="00000000">
        <w:rPr>
          <w:rFonts w:ascii="Roboto Mono" w:cs="Roboto Mono" w:eastAsia="Roboto Mono" w:hAnsi="Roboto Mono"/>
          <w:color w:val="188038"/>
          <w:rtl w:val="0"/>
        </w:rPr>
        <w:t xml:space="preserve">/vendor/icor-mypka/</w:t>
      </w:r>
      <w:r w:rsidDel="00000000" w:rsidR="00000000" w:rsidRPr="00000000">
        <w:rPr>
          <w:rtl w:val="0"/>
        </w:rPr>
        <w:t xml:space="preserve"> — pristine, untouched upstream copy of the downloaded scaffold version. Never edited.</w:t>
      </w:r>
    </w:p>
    <w:p w:rsidR="00000000" w:rsidDel="00000000" w:rsidP="00000000" w:rsidRDefault="00000000" w:rsidRPr="00000000" w14:paraId="00000015">
      <w:pPr>
        <w:numPr>
          <w:ilvl w:val="0"/>
          <w:numId w:val="1"/>
        </w:numPr>
        <w:ind w:left="720" w:hanging="360"/>
      </w:pPr>
      <w:r w:rsidDel="00000000" w:rsidR="00000000" w:rsidRPr="00000000">
        <w:rPr>
          <w:rFonts w:ascii="Roboto Mono" w:cs="Roboto Mono" w:eastAsia="Roboto Mono" w:hAnsi="Roboto Mono"/>
          <w:color w:val="188038"/>
          <w:rtl w:val="0"/>
        </w:rPr>
        <w:t xml:space="preserve">Fusion247-Brain/</w:t>
      </w:r>
      <w:r w:rsidDel="00000000" w:rsidR="00000000" w:rsidRPr="00000000">
        <w:rPr>
          <w:rtl w:val="0"/>
        </w:rPr>
        <w:t xml:space="preserve"> — the working fork. Honestly owned as a derivative; never presented as pristine upstream.</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The two must have </w:t>
      </w:r>
      <w:r w:rsidDel="00000000" w:rsidR="00000000" w:rsidRPr="00000000">
        <w:rPr>
          <w:b w:val="1"/>
          <w:bCs w:val="1"/>
          <w:rtl w:val="0"/>
        </w:rPr>
        <w:t xml:space="preserve">separate git histories</w:t>
      </w:r>
      <w:r w:rsidDel="00000000" w:rsidR="00000000" w:rsidRPr="00000000">
        <w:rPr>
          <w:rtl w:val="0"/>
        </w:rPr>
        <w:t xml:space="preserve"> (vendor copy excluded from the working repo, or a separate repo) so upstream updates never appear as diff noise in Fusion247-Brain history.</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When custom Guidelines/Templates are added, </w:t>
      </w:r>
      <w:r w:rsidDel="00000000" w:rsidR="00000000" w:rsidRPr="00000000">
        <w:rPr>
          <w:b w:val="1"/>
          <w:bCs w:val="1"/>
          <w:rtl w:val="0"/>
        </w:rPr>
        <w:t xml:space="preserve">update manifest.json</w:t>
      </w:r>
      <w:r w:rsidDel="00000000" w:rsidR="00000000" w:rsidRPr="00000000">
        <w:rPr>
          <w:rtl w:val="0"/>
        </w:rPr>
        <w:t xml:space="preserve"> so custom files sit under user_state_paths (the v4.0.0 framework/user-state seam). This prevents the scaffold self-updater from ever overwriting Fusion's schema extensions back to stock.</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Worst case of heavy customisation is upstream-merge friction — annoying, not fatal. Markdown stays readable regardless.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Licence: CC BY-NC-SA 4.0 personal-use reading accepted for an individual whose personal system touches their day job (not redistribution, not a product). Flagged once; Warwick's call; logged.</w:t>
      </w:r>
    </w:p>
    <w:p w:rsidR="00000000" w:rsidDel="00000000" w:rsidP="00000000" w:rsidRDefault="00000000" w:rsidRPr="00000000" w14:paraId="0000001A">
      <w:pPr>
        <w:pStyle w:val="Heading2"/>
        <w:rPr/>
      </w:pPr>
      <w:bookmarkStart w:colFirst="0" w:colLast="0" w:name="_yhdha7m5u9oo" w:id="5"/>
      <w:bookmarkEnd w:id="5"/>
      <w:r w:rsidDel="00000000" w:rsidR="00000000" w:rsidRPr="00000000">
        <w:rPr>
          <w:rtl w:val="0"/>
        </w:rPr>
        <w:t xml:space="preserve">B3. Schema extension (the "add the missing bones" pass)</w:t>
      </w:r>
    </w:p>
    <w:p w:rsidR="00000000" w:rsidDel="00000000" w:rsidP="00000000" w:rsidRDefault="00000000" w:rsidRPr="00000000" w14:paraId="0000001B">
      <w:pPr>
        <w:rPr/>
      </w:pPr>
      <w:r w:rsidDel="00000000" w:rsidR="00000000" w:rsidRPr="00000000">
        <w:rPr>
          <w:rtl w:val="0"/>
        </w:rPr>
        <w:t xml:space="preserve">Extend intentionally, through the sanctioned mechanism, not ad-hoc frontmatter: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New Guideline: </w:t>
      </w:r>
      <w:r w:rsidDel="00000000" w:rsidR="00000000" w:rsidRPr="00000000">
        <w:rPr>
          <w:rFonts w:ascii="Roboto Mono" w:cs="Roboto Mono" w:eastAsia="Roboto Mono" w:hAnsi="Roboto Mono"/>
          <w:color w:val="188038"/>
          <w:rtl w:val="0"/>
        </w:rPr>
        <w:t xml:space="preserve">GL-F247-001-project-entity-schema.md</w:t>
      </w:r>
      <w:r w:rsidDel="00000000" w:rsidR="00000000" w:rsidRPr="00000000">
        <w:rPr>
          <w:rtl w:val="0"/>
        </w:rPr>
        <w:t xml:space="preserve"> defining the delivery-management entity set.</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New Templates (Team Knowledge/Templates/): </w:t>
      </w:r>
      <w:r w:rsidDel="00000000" w:rsidR="00000000" w:rsidRPr="00000000">
        <w:rPr>
          <w:b w:val="1"/>
          <w:bCs w:val="1"/>
          <w:rtl w:val="0"/>
        </w:rPr>
        <w:t xml:space="preserve">Risk, Work Package, Decision, Change, Source, Deliverable</w:t>
      </w:r>
      <w:r w:rsidDel="00000000" w:rsidR="00000000" w:rsidRPr="00000000">
        <w:rPr>
          <w:rtl w:val="0"/>
        </w:rPr>
        <w:t xml:space="preserve"> (final list to be ratified at the PRD comparison session; F247's registers — risk, issue, change, decision, dependency, lessons — are the source of truth for what's needed).</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Per-entity vs in-file: default to one-file-per-item for anything that needs cross-project querying later (risks, decisions); tables-inside-the-Project-note acceptable for low-volume registers. Decide once, in the Guideline.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Silas ratifies: audits the new frontmatter against GL-002 conventions, owns schema-drift prevention. "Never invents fields" applies to ad-hoc keys, not to properly-Guidelined extensions.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SQLite/Cockpit implication: the Cockpit and SOP-002 conversion assume the stock schema; extended entities follow along only if defined in Guidelines the conversion reads. Log as a known seam; not a Phase-1 problem.</w:t>
      </w:r>
    </w:p>
    <w:p w:rsidR="00000000" w:rsidDel="00000000" w:rsidP="00000000" w:rsidRDefault="00000000" w:rsidRPr="00000000" w14:paraId="00000022">
      <w:pPr>
        <w:pStyle w:val="Heading2"/>
        <w:rPr/>
      </w:pPr>
      <w:bookmarkStart w:colFirst="0" w:colLast="0" w:name="_5ps04d8a3hrq" w:id="6"/>
      <w:bookmarkEnd w:id="6"/>
      <w:r w:rsidDel="00000000" w:rsidR="00000000" w:rsidRPr="00000000">
        <w:rPr>
          <w:rtl w:val="0"/>
        </w:rPr>
        <w:t xml:space="preserve">B4. Agent mapping (verified where stated)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F247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myPKA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CategorisAIr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Penn (capture filer)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CONFIRMED — Addendum A1 calls Penn "direct counterpart of CategorisAIr" from contract reading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RecruitAIr challenge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Nolan (hiring, SOP-001)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Bolt-on: F247's challenge step is stronger than stock; port the rules into Nolan's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VerifiAIr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Larry's Librarian duties + validation script + F247 QA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Composite mapping; external cross-model QA remains an F247 exceedance the runtime cannot replicate internally — keep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/update brain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extends the close-session 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User-extensible by design (R13)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F247 task ledger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Team Knowledge/tasks/ state-as-folder-location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Addendum A2: file-per-task supersedes single-ledger at migration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(new hire) Project ManagAIr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via Nolan / SOP-001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The delivery-management specialist; owns the B3 entities and the delivery Workstreams (status reporting, RAID review, client onboarding)</w:t>
            </w:r>
          </w:p>
        </w:tc>
      </w:tr>
    </w:tbl>
    <w:p w:rsidR="00000000" w:rsidDel="00000000" w:rsidP="00000000" w:rsidRDefault="00000000" w:rsidRPr="00000000" w14:paraId="00000038">
      <w:pPr>
        <w:pStyle w:val="Heading2"/>
        <w:rPr/>
      </w:pPr>
      <w:bookmarkStart w:colFirst="0" w:colLast="0" w:name="_7qwf8uioa2p0" w:id="7"/>
      <w:bookmarkEnd w:id="7"/>
      <w:r w:rsidDel="00000000" w:rsidR="00000000" w:rsidRPr="00000000">
        <w:rPr>
          <w:rtl w:val="0"/>
        </w:rPr>
        <w:t xml:space="preserve">B5. Raw chats &amp; the ChatGPT import</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Raw conversation exports = </w:t>
      </w:r>
      <w:r w:rsidDel="00000000" w:rsidR="00000000" w:rsidRPr="00000000">
        <w:rPr>
          <w:b w:val="1"/>
          <w:bCs w:val="1"/>
          <w:rtl w:val="0"/>
        </w:rPr>
        <w:t xml:space="preserve">immutable source</w:t>
      </w:r>
      <w:r w:rsidDel="00000000" w:rsidR="00000000" w:rsidRPr="00000000">
        <w:rPr>
          <w:rtl w:val="0"/>
        </w:rPr>
        <w:t xml:space="preserve"> (F247 01_Sources_Immutable discipline; maps to the reference's evidence posture). Processed, structured notes are extracted FROM them — the raw chat is never forced to become a neat entity.</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Mechanism: </w:t>
      </w:r>
      <w:r w:rsidDel="00000000" w:rsidR="00000000" w:rsidRPr="00000000">
        <w:rPr>
          <w:b w:val="1"/>
          <w:bCs w:val="1"/>
          <w:rtl w:val="0"/>
        </w:rPr>
        <w:t xml:space="preserve">WS-002</w:t>
      </w:r>
      <w:r w:rsidDel="00000000" w:rsidR="00000000" w:rsidRPr="00000000">
        <w:rPr>
          <w:rtl w:val="0"/>
        </w:rPr>
        <w:t xml:space="preserve"> (ships in scaffold) is the bulk import workstream; ChatGPT's conversations.json is an unrecognised source shape, so expect the "ask the user / research first" branch and a defined mapping session, not drop-and-forget. WS-002's own guarantees: read-only source, mandatory clarifying questions, inventory, plan + approval before any write, session-log audit trail, never silent overwrite.</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Sequencing rule (hard):</w:t>
      </w:r>
      <w:r w:rsidDel="00000000" w:rsidR="00000000" w:rsidRPr="00000000">
        <w:rPr>
          <w:rtl w:val="0"/>
        </w:rPr>
        <w:t xml:space="preserve"> the B3 schema-extension pass is validated and ratified BEFORE the bulk ChatGPT import runs. Never both in the same working session. Wrong schema + bulk import = re-processing already-imported data.</w:t>
      </w:r>
    </w:p>
    <w:p w:rsidR="00000000" w:rsidDel="00000000" w:rsidP="00000000" w:rsidRDefault="00000000" w:rsidRPr="00000000" w14:paraId="0000003C">
      <w:pPr>
        <w:pStyle w:val="Heading2"/>
        <w:rPr/>
      </w:pPr>
      <w:bookmarkStart w:colFirst="0" w:colLast="0" w:name="_7m63dimtaruy" w:id="8"/>
      <w:bookmarkEnd w:id="8"/>
      <w:r w:rsidDel="00000000" w:rsidR="00000000" w:rsidRPr="00000000">
        <w:rPr>
          <w:rtl w:val="0"/>
        </w:rPr>
        <w:t xml:space="preserve">B6. Runtime environment decisions (2026-07-03 session)</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Sync = git</w:t>
      </w:r>
      <w:r w:rsidDel="00000000" w:rsidR="00000000" w:rsidRPr="00000000">
        <w:rPr>
          <w:rFonts w:ascii="Arial Unicode MS" w:cs="Arial Unicode MS" w:eastAsia="Arial Unicode MS" w:hAnsi="Arial Unicode MS"/>
          <w:rtl w:val="0"/>
        </w:rPr>
        <w:t xml:space="preserve">, not Drive sync, not the SSD. Private repo on Warwick's PERSONAL GitHub account (never the Bellrock/work git server). Full clone on each machine (work laptop → Codex; personal PC → Claude Code) = three full copies including the remote; genuine redundancy.</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Session discipline baked into agent instructions, not memory: </w:t>
      </w:r>
      <w:r w:rsidDel="00000000" w:rsidR="00000000" w:rsidRPr="00000000">
        <w:rPr>
          <w:rFonts w:ascii="Roboto Mono" w:cs="Roboto Mono" w:eastAsia="Roboto Mono" w:hAnsi="Roboto Mono"/>
          <w:color w:val="188038"/>
          <w:rtl w:val="0"/>
        </w:rPr>
        <w:t xml:space="preserve">git pull</w:t>
      </w:r>
      <w:r w:rsidDel="00000000" w:rsidR="00000000" w:rsidRPr="00000000">
        <w:rPr>
          <w:rtl w:val="0"/>
        </w:rPr>
        <w:t xml:space="preserve"> at session start; </w:t>
      </w:r>
      <w:r w:rsidDel="00000000" w:rsidR="00000000" w:rsidRPr="00000000">
        <w:rPr>
          <w:rFonts w:ascii="Roboto Mono" w:cs="Roboto Mono" w:eastAsia="Roboto Mono" w:hAnsi="Roboto Mono"/>
          <w:color w:val="188038"/>
          <w:rtl w:val="0"/>
        </w:rPr>
        <w:t xml:space="preserve">git add -A &amp;&amp; git commit &amp;&amp; git push</w:t>
      </w:r>
      <w:r w:rsidDel="00000000" w:rsidR="00000000" w:rsidRPr="00000000">
        <w:rPr>
          <w:rtl w:val="0"/>
        </w:rPr>
        <w:t xml:space="preserve"> at session close (fold into the close-session routine).</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.gitignore from day one:</w:t>
      </w:r>
      <w:r w:rsidDel="00000000" w:rsidR="00000000" w:rsidRPr="00000000">
        <w:rPr>
          <w:rtl w:val="0"/>
        </w:rPr>
        <w:t xml:space="preserve"> secrets (</w:t>
      </w:r>
      <w:r w:rsidDel="00000000" w:rsidR="00000000" w:rsidRPr="00000000">
        <w:rPr>
          <w:rFonts w:ascii="Roboto Mono" w:cs="Roboto Mono" w:eastAsia="Roboto Mono" w:hAnsi="Roboto Mono"/>
          <w:color w:val="188038"/>
          <w:rtl w:val="0"/>
        </w:rPr>
        <w:t xml:space="preserve">Team Knowledge/.env</w:t>
      </w:r>
      <w:r w:rsidDel="00000000" w:rsidR="00000000" w:rsidRPr="00000000">
        <w:rPr>
          <w:rtl w:val="0"/>
        </w:rPr>
        <w:t xml:space="preserve">, tokens.json, config.json from the Withings bridge), Cockpit build output, any </w:t>
      </w:r>
      <w:r w:rsidDel="00000000" w:rsidR="00000000" w:rsidRPr="00000000">
        <w:rPr>
          <w:rFonts w:ascii="Roboto Mono" w:cs="Roboto Mono" w:eastAsia="Roboto Mono" w:hAnsi="Roboto Mono"/>
          <w:color w:val="188038"/>
          <w:rtl w:val="0"/>
        </w:rPr>
        <w:t xml:space="preserve">.db</w:t>
      </w:r>
      <w:r w:rsidDel="00000000" w:rsidR="00000000" w:rsidRPr="00000000">
        <w:rPr>
          <w:rtl w:val="0"/>
        </w:rPr>
        <w:t xml:space="preserve">/SQLite mirrors, </w:t>
      </w:r>
      <w:r w:rsidDel="00000000" w:rsidR="00000000" w:rsidRPr="00000000">
        <w:rPr>
          <w:rFonts w:ascii="Roboto Mono" w:cs="Roboto Mono" w:eastAsia="Roboto Mono" w:hAnsi="Roboto Mono"/>
          <w:color w:val="188038"/>
          <w:rtl w:val="0"/>
        </w:rPr>
        <w:t xml:space="preserve">.mypka/</w:t>
      </w:r>
      <w:r w:rsidDel="00000000" w:rsidR="00000000" w:rsidRPr="00000000">
        <w:rPr>
          <w:rtl w:val="0"/>
        </w:rPr>
        <w:t xml:space="preserve"> backups. Secrets in git history are near-impossible to fully scrub.</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USB SSD: demoted from sync mechanism to (a) home for non-git material — raw export zips pre-processing, secrets backup, large binaries — and (b) optional bare-git mirror. Keeping it is fine; relying on it for sync is not the design.</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Google Drive: remains the Phase-1 (pre-migration) operating surface per the baseline, and post-migration a read surface for mobile Claude/GPT review via connector — NOT the vault's sync mechanism.</w:t>
      </w:r>
    </w:p>
    <w:p w:rsidR="00000000" w:rsidDel="00000000" w:rsidP="00000000" w:rsidRDefault="00000000" w:rsidRPr="00000000" w14:paraId="00000042">
      <w:pPr>
        <w:pStyle w:val="Heading2"/>
        <w:rPr/>
      </w:pPr>
      <w:bookmarkStart w:colFirst="0" w:colLast="0" w:name="_91pdnll5n7wr" w:id="9"/>
      <w:bookmarkEnd w:id="9"/>
      <w:r w:rsidDel="00000000" w:rsidR="00000000" w:rsidRPr="00000000">
        <w:rPr>
          <w:rtl w:val="0"/>
        </w:rPr>
        <w:t xml:space="preserve">B7. Execution-tool connections (Cockpit, verified from source)</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Cockpit ships example connectors, </w:t>
      </w:r>
      <w:r w:rsidDel="00000000" w:rsidR="00000000" w:rsidRPr="00000000">
        <w:rPr>
          <w:b w:val="1"/>
          <w:bCs w:val="1"/>
          <w:rtl w:val="0"/>
        </w:rPr>
        <w:t xml:space="preserve">disabled by default</w:t>
      </w:r>
      <w:r w:rsidDel="00000000" w:rsidR="00000000" w:rsidRPr="00000000">
        <w:rPr>
          <w:rtl w:val="0"/>
        </w:rPr>
        <w:t xml:space="preserve"> (two gates: </w:t>
      </w:r>
      <w:r w:rsidDel="00000000" w:rsidR="00000000" w:rsidRPr="00000000">
        <w:rPr>
          <w:rFonts w:ascii="Roboto Mono" w:cs="Roboto Mono" w:eastAsia="Roboto Mono" w:hAnsi="Roboto Mono"/>
          <w:color w:val="188038"/>
          <w:rtl w:val="0"/>
        </w:rPr>
        <w:t xml:space="preserve">CONNECTORS_ENABLED=1</w:t>
      </w:r>
      <w:r w:rsidDel="00000000" w:rsidR="00000000" w:rsidRPr="00000000">
        <w:rPr>
          <w:rtl w:val="0"/>
        </w:rPr>
        <w:t xml:space="preserve"> + per-tool key in </w:t>
      </w:r>
      <w:r w:rsidDel="00000000" w:rsidR="00000000" w:rsidRPr="00000000">
        <w:rPr>
          <w:rFonts w:ascii="Roboto Mono" w:cs="Roboto Mono" w:eastAsia="Roboto Mono" w:hAnsi="Roboto Mono"/>
          <w:color w:val="188038"/>
          <w:rtl w:val="0"/>
        </w:rPr>
        <w:t xml:space="preserve">Team Knowledge/.env</w:t>
      </w:r>
      <w:r w:rsidDel="00000000" w:rsidR="00000000" w:rsidRPr="00000000">
        <w:rPr>
          <w:rtl w:val="0"/>
        </w:rPr>
        <w:t xml:space="preserve">): Todoist (PPM slot), </w:t>
      </w:r>
      <w:r w:rsidDel="00000000" w:rsidR="00000000" w:rsidRPr="00000000">
        <w:rPr>
          <w:b w:val="1"/>
          <w:bCs w:val="1"/>
          <w:rtl w:val="0"/>
        </w:rPr>
        <w:t xml:space="preserve">ClickUp (BPM slot — read-only, one Vex-gated complete-task write)</w:t>
      </w:r>
      <w:r w:rsidDel="00000000" w:rsidR="00000000" w:rsidRPr="00000000">
        <w:rPr>
          <w:rtl w:val="0"/>
        </w:rPr>
        <w:t xml:space="preserve">, iCal calendar feed, IMAP starred email.</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Trello is NOT shipped.</w:t>
      </w:r>
      <w:r w:rsidDel="00000000" w:rsidR="00000000" w:rsidRPr="00000000">
        <w:rPr>
          <w:rtl w:val="0"/>
        </w:rPr>
        <w:t xml:space="preserve"> If wanted: one connector module + one catalog.json entry following the documented pattern — a small Codex/Felix build task, not config.</w:t>
      </w:r>
    </w:p>
    <w:p w:rsidR="00000000" w:rsidDel="00000000" w:rsidP="00000000" w:rsidRDefault="00000000" w:rsidRPr="00000000" w14:paraId="00000045">
      <w:pPr>
        <w:numPr>
          <w:ilvl w:val="0"/>
          <w:numId w:val="1"/>
        </w:numPr>
        <w:ind w:left="720" w:hanging="360"/>
      </w:pPr>
      <w:r w:rsidDel="00000000" w:rsidR="00000000" w:rsidRPr="00000000">
        <w:rPr>
          <w:rFonts w:ascii="Arial Unicode MS" w:cs="Arial Unicode MS" w:eastAsia="Arial Unicode MS" w:hAnsi="Arial Unicode MS"/>
          <w:rtl w:val="0"/>
        </w:rPr>
        <w:t xml:space="preserve">ICOR slot mapping for Fusion: PPM→Todoist (or drop), BPM→ClickUp (Warwick's work tasks), Calendar→iCal feed. Enable only what's used.</w:t>
      </w:r>
    </w:p>
    <w:p w:rsidR="00000000" w:rsidDel="00000000" w:rsidP="00000000" w:rsidRDefault="00000000" w:rsidRPr="00000000" w14:paraId="00000046">
      <w:pPr>
        <w:pStyle w:val="Heading2"/>
        <w:rPr/>
      </w:pPr>
      <w:bookmarkStart w:colFirst="0" w:colLast="0" w:name="_e53we01e5dry" w:id="10"/>
      <w:bookmarkEnd w:id="10"/>
      <w:r w:rsidDel="00000000" w:rsidR="00000000" w:rsidRPr="00000000">
        <w:rPr>
          <w:rtl w:val="0"/>
        </w:rPr>
        <w:t xml:space="preserve">B8. Housekeeping (prevents the naming collisions that plagued the 2026-07-03 session)</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Rename the Drive folder </w:t>
      </w:r>
      <w:r w:rsidDel="00000000" w:rsidR="00000000" w:rsidRPr="00000000">
        <w:rPr>
          <w:rFonts w:ascii="Roboto Mono" w:cs="Roboto Mono" w:eastAsia="Roboto Mono" w:hAnsi="Roboto Mono"/>
          <w:color w:val="188038"/>
          <w:rtl w:val="0"/>
        </w:rPr>
        <w:t xml:space="preserve">FUSION247PKA</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vendor-mypka</w:t>
      </w:r>
      <w:r w:rsidDel="00000000" w:rsidR="00000000" w:rsidRPr="00000000">
        <w:rPr>
          <w:rtl w:val="0"/>
        </w:rPr>
        <w:t xml:space="preserve"> (or similar with zero "F247"/"Fusion" overlap). The scaffold download and the F247 system must never share a name fragment again.</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File build.icor.md + Addenda per its own location note (00_System/governance suggested) and update the master index.</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The Withings bridge (built 2026-07-03, stdlib-only, in outputs) lands post-migration in a health/ area with its output CSVs; its config/tokens are .gitignored per B6.</w:t>
      </w:r>
    </w:p>
    <w:p w:rsidR="00000000" w:rsidDel="00000000" w:rsidP="00000000" w:rsidRDefault="00000000" w:rsidRPr="00000000" w14:paraId="0000004A">
      <w:pPr>
        <w:pStyle w:val="Heading2"/>
        <w:rPr/>
      </w:pPr>
      <w:bookmarkStart w:colFirst="0" w:colLast="0" w:name="_xxlcsb9znug6" w:id="11"/>
      <w:bookmarkEnd w:id="11"/>
      <w:r w:rsidDel="00000000" w:rsidR="00000000" w:rsidRPr="00000000">
        <w:rPr>
          <w:rtl w:val="0"/>
        </w:rPr>
        <w:t xml:space="preserve">B9. Codex bootstrap — the "off you go son" runbook</w:t>
      </w:r>
    </w:p>
    <w:p w:rsidR="00000000" w:rsidDel="00000000" w:rsidP="00000000" w:rsidRDefault="00000000" w:rsidRPr="00000000" w14:paraId="0000004B">
      <w:pPr>
        <w:rPr/>
      </w:pPr>
      <w:r w:rsidDel="00000000" w:rsidR="00000000" w:rsidRPr="00000000">
        <w:rPr>
          <w:rtl w:val="0"/>
        </w:rPr>
        <w:t xml:space="preserve">Ordered, gated phases. Each gate = Warwick approves before the next phase starts. Codex: read this whole addendum plus build.icor.md v0.1 and Addendum A before Phase 1.</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Phase 0 — preconditions (Warwick, manual):</w:t>
      </w:r>
      <w:r w:rsidDel="00000000" w:rsidR="00000000" w:rsidRPr="00000000">
        <w:rPr>
          <w:rtl w:val="0"/>
        </w:rPr>
        <w:t xml:space="preserve"> personal GitHub account ready; </w:t>
      </w:r>
      <w:r w:rsidDel="00000000" w:rsidR="00000000" w:rsidRPr="00000000">
        <w:rPr>
          <w:rFonts w:ascii="Roboto Mono" w:cs="Roboto Mono" w:eastAsia="Roboto Mono" w:hAnsi="Roboto Mono"/>
          <w:color w:val="188038"/>
          <w:rtl w:val="0"/>
        </w:rPr>
        <w:t xml:space="preserve">git --version</w:t>
      </w:r>
      <w:r w:rsidDel="00000000" w:rsidR="00000000" w:rsidRPr="00000000">
        <w:rPr>
          <w:rtl w:val="0"/>
        </w:rPr>
        <w:t xml:space="preserve"> works on the machine; latest myPKA release downloaded; this document accessible.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Phase 1 — vendor + fork setup:</w:t>
      </w:r>
      <w:r w:rsidDel="00000000" w:rsidR="00000000" w:rsidRPr="00000000">
        <w:rPr>
          <w:rtl w:val="0"/>
        </w:rPr>
        <w:t xml:space="preserve"> create </w:t>
      </w:r>
      <w:r w:rsidDel="00000000" w:rsidR="00000000" w:rsidRPr="00000000">
        <w:rPr>
          <w:rFonts w:ascii="Roboto Mono" w:cs="Roboto Mono" w:eastAsia="Roboto Mono" w:hAnsi="Roboto Mono"/>
          <w:color w:val="188038"/>
          <w:rtl w:val="0"/>
        </w:rPr>
        <w:t xml:space="preserve">/vendor/icor-mypka/</w:t>
      </w:r>
      <w:r w:rsidDel="00000000" w:rsidR="00000000" w:rsidRPr="00000000">
        <w:rPr>
          <w:rtl w:val="0"/>
        </w:rPr>
        <w:t xml:space="preserve"> (pristine copy, no git remote or separate repo); copy to </w:t>
      </w:r>
      <w:r w:rsidDel="00000000" w:rsidR="00000000" w:rsidRPr="00000000">
        <w:rPr>
          <w:rFonts w:ascii="Roboto Mono" w:cs="Roboto Mono" w:eastAsia="Roboto Mono" w:hAnsi="Roboto Mono"/>
          <w:color w:val="188038"/>
          <w:rtl w:val="0"/>
        </w:rPr>
        <w:t xml:space="preserve">Fusion247-Brain/</w:t>
      </w:r>
      <w:r w:rsidDel="00000000" w:rsidR="00000000" w:rsidRPr="00000000">
        <w:rPr>
          <w:rtl w:val="0"/>
        </w:rPr>
        <w:t xml:space="preserve">; init git; write .gitignore per B6 BEFORE first commit; first commit = clean baseline; add personal GitHub remote; push. Then activate: "Read ADAPTER-PROMPT.md and follow it" — personalisation (first name: Warwick), version history YES, Cockpit build YES, adopt Larry. GATE: Warwick confirms activation report.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Phase 2 — schema extension pass (B3):</w:t>
      </w:r>
      <w:r w:rsidDel="00000000" w:rsidR="00000000" w:rsidRPr="00000000">
        <w:rPr>
          <w:rtl w:val="0"/>
        </w:rPr>
        <w:t xml:space="preserve"> Nolan hires Project ManagAIr per SOP-001 (port RecruitAIr challenge rules into the process); draft GL-F247-001 + the new Templates; Silas audit; update manifest.json user_state_paths. GATE: Warwick ratifies the Guideline (this is the PRD comparison session output landing).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Phase 3 — F247 port:</w:t>
      </w:r>
      <w:r w:rsidDel="00000000" w:rsidR="00000000" w:rsidRPr="00000000">
        <w:rPr>
          <w:rtl w:val="0"/>
        </w:rPr>
        <w:t xml:space="preserve"> import F247's governance docs (decision log, taxonomy, provenance rules, QA rules, baseline, master index, open-question register) as Guidelines/Documents; migrate task ledger into Team Knowledge/tasks/; port /update brain items into close-session; recreate the BRK-001 project structure under the new schema as the worked example. GATE: Warwick reviews one fully-ported project.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Phase 4 — ChatGPT history import (B5):</w:t>
      </w:r>
      <w:r w:rsidDel="00000000" w:rsidR="00000000" w:rsidRPr="00000000">
        <w:rPr>
          <w:rFonts w:ascii="Arial Unicode MS" w:cs="Arial Unicode MS" w:eastAsia="Arial Unicode MS" w:hAnsi="Arial Unicode MS"/>
          <w:rtl w:val="0"/>
        </w:rPr>
        <w:t xml:space="preserve"> run WS-002 against the export zip. Raw zip contents → immutable source area first. Expect and answer the eight clarifying questions; approve the plan before writes. GATE: session-log review.</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Phase 5 — connectors &amp; bridges (B7):</w:t>
      </w:r>
      <w:r w:rsidDel="00000000" w:rsidR="00000000" w:rsidRPr="00000000">
        <w:rPr>
          <w:rtl w:val="0"/>
        </w:rPr>
        <w:t xml:space="preserve"> ClickUp connector on (key via Connections page); Withings bridge installed and scheduled; calendar feed if wanted. Each independently reversible.</w:t>
      </w:r>
    </w:p>
    <w:p w:rsidR="00000000" w:rsidDel="00000000" w:rsidP="00000000" w:rsidRDefault="00000000" w:rsidRPr="00000000" w14:paraId="00000058">
      <w:pPr>
        <w:pStyle w:val="Heading2"/>
        <w:rPr/>
      </w:pPr>
      <w:bookmarkStart w:colFirst="0" w:colLast="0" w:name="_qpruo6pmi7kx" w:id="12"/>
      <w:bookmarkEnd w:id="12"/>
      <w:r w:rsidDel="00000000" w:rsidR="00000000" w:rsidRPr="00000000">
        <w:rPr>
          <w:rtl w:val="0"/>
        </w:rPr>
        <w:t xml:space="preserve">Backlinks</w:t>
      </w:r>
    </w:p>
    <w:p w:rsidR="00000000" w:rsidDel="00000000" w:rsidP="00000000" w:rsidRDefault="00000000" w:rsidRPr="00000000" w14:paraId="00000059">
      <w:pPr>
        <w:rPr/>
      </w:pPr>
      <w:r w:rsidDel="00000000" w:rsidR="00000000" w:rsidRPr="00000000">
        <w:rPr>
          <w:rtl w:val="0"/>
        </w:rPr>
        <w:t xml:space="preserve">[[build.icor.md]] [[Fusion247 Brain]] [[F247 Brain PRD]] [[F247.decision-log]] [[WS-002-import-external-knowledge-base]] [[SOP-001-how-to-add-a-new-specialist]] [[GL-002-frontmatter-conventions]] [[Project ManagAIr]] [[Penn]] [[Nolan]] [[Silas]] [[Larry]] [[myPKA]] [[ICOR]]</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