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F247.template.icor-course-notes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Purpose: Standard Fusion247 template for converting Warwick's own Tom Solid / Paperless Movement ICOR course lessons (Agents, PKA, IPA) into durable, provenance-tracked WIKI knowledge, without losing build/config detail and without treating course opinion as F247 decision.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 title: F247.template.icor-course-notes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Active draft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Created date: 2026-07-04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Created by: Claude, at Warwick's request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Intended agent: [[CategorisAIr]]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Related command: none yet — manual drop into Inbox for now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Related agents: [[CategorisAIr]] [[VerifiAIr]] [[Fusion / OrchestratAIr]]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Related documents: [[build.icor.md]] [[build.icor.principles]] [[GL-F247-001-project-entity-schema]] [[F247.template.source-classification-registry]] [[F247.template.wiki-entity-note]]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Related concepts: [[ICOR]] [[myPKA]] [[IPA]] [[Paperless Movement]] [[Tom Solid]] [[Course Notes]] [[RAW]] [[WIKI]] [[Provenance]]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 maturity: Seed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Review status: AI-created; requires Warwick review before first production use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Purpose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Warwick is taking Paperless Movement's three ICOR courses (Agents, PKA, IPA) as structured build-alongs, in order to understand and validate the vendor's actual agent/schema/config design before Fusion247 forks and heavily customises it. This template exists so lesson-by-lesson notes land in the Brain as durable, queryable knowledge — not lost to memory, and not silently treated as accepted F247 decisions just because Tom said it in a video.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**learning capture template**, not a decision template. Nothing captured here is authoritative for Fusion247 until it is explicitly compared against current F247 build docs and promoted through the normal decision process (see Section 7).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When to Use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template when: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Warwick drops a lesson note, screen recording transcript, or his own written takeaways from an ICOR course lesson (Agents / PKA / IPA) into `01_Inbox/ICOR Course Notes/`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content documents how Tom's vendor build actually works — agent design, folder schema, entity templates, config steps, naming conventions, or methodology reasoning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this template for: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General ICOR/myPKA background research (that belongs in a plain WIKI entity note via `F247.template.wiki-entity-note`, as already exists for [[ICOR]] and [[myPKA]])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Fusion247's own build decisions (those belong in `F247.decision-log`)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 marketing/sales content with no build detail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Intake Location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RAW drop zone: `01_Inbox/ICOR Course Notes/`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Processed WIKI destination: `03_Knowledge/ICOR Course/` (create if it does not yet exist; do not scatter lesson notes across the general Knowledge folder)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Original recordings/exports, if any, are preserved as immutable RAW per standard CategorisAIr rules — this template governs the processed note only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Processed Note Structure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Lesson Identity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Course: Agents / PKA / IPA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Module / lesson number and title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 watched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Format: build-along, config walkthrough, or conceptual/theory lesson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What Was Taught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account of the actual content — not a summary. Preserve specific build/config detail: folder names, file names, agent contracts, naming conventions, exact schema fields, command syntax. This is reference material Warwick will need to replicate or diverge from later; vague paraphrase defeats the purpose.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Agent Layer Notes (if applicable)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about how Tom designs, names, or scopes agents. Cross-reference against F247's own agent registry and `F247.agent.categorisair` / `F247.agent.recruitair` — note agreements and divergences explicitly, don't just record Tom's version in isolation.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Schema / Entity Notes (if applicable)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about entity types, frontmatter fields, folder structure — especially anything relevant to the open Schema A/B question in `GL-F247-001-project-entity-schema`. This is likely the single most valuable category of note, since it's the exact gap that draft guideline currently reconstructs rather than confirms.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Comparison to Current F247 Build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 table or list: where does this lesson confirm, contradict, or extend something already in `build.icor.md`, `GL-F247-001`, or the live F247 agent docs? Mark each as Confirms / Contradicts / Extends / Not yet comparable.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 Candidate Actions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that looks like it should change the F247 build. Phrase as a candidate, not a decision — e.g. "Candidate: adopt Tom's X naming convention for Y" — and route to `F247 Open Register` or `F247.decision-log` per the normal CategorisAIr routing rule. Do not implement build changes directly from a course note.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 Open Questions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unclear, or that needs a second lesson/video to confirm.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Provenance Requirements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fields, consistent with `F247.agent.categorisair` metadata rules: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source_type: icor_course_lesson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course: agents / pka / ipa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lesson_reference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watched_date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processed_date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confidence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review_status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related_docs (build.icor.md, GL-F247-001, etc.)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CategorisAIr Instructions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 `F247.template.source-classification-registry` — confirm the item is an ICOR course note before applying this template (not a general research source).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Preserve any raw recording/export as RAW; this template applies to the processed note.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Do not compress Section 2 (What Was Taught) into a brief summary — build/config detail is the entire point of this template, per the same no-knowledge-loss principle as `F247.template.youtube-transcript-knowledge-note`.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Populate Section 5 (Comparison to Current F247 Build) by actually checking `build.icor.md` and `GL-F247-001-project-entity-schema` — do not leave it generic.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Route Section 6 candidate actions to the correct register. Do not mark them as decided.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File the processed note under `03_Knowledge/ICOR Course/`, named by lesson content (e.g. `ICOR IPA — Business Entity Schema Design`), not a generic "Lesson 3 Notes" title.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VerifiAIr Instructions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reviewing ICOR course notes during `/update brain`: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whether any Section 6 candidate actions have gone stale without being promoted or rejected.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whether `GL-F247-001-project-entity-schema` has been updated once enough IPA lesson notes exist to replace its reconstructed sections with confirmed vendor detail.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Backlinks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[[Fusion247]] [[Fusion247 Brain]] [[CategorisAIr]] [[VerifiAIr]] [[ICOR]] [[myPKA]] [[IPA]] [[Paperless Movement]] [[build.icor.md]] [[build.icor.principles]] [[GL-F247-001-project-entity-schema]] [[F247.template.source-classification-registry]] [[F247.template.wiki-entity-note]]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