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Status - ABS, AI Consultant (req 3922)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Status: NOT APPLYING. Decision made 2026-07-05 after CV was drafted. Reason: ABS's application system (Oracle Cloud/Taleo-style candidate portal) requires fully manual field-by-field entry with no CV auto-parse, which Warwick considered a poor sign of practical AI maturity for a company advertising an AI Practice Team role. Withdrawn before submission, no application went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Folder: CV/applications/ABS-2026-07/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Role: AI Consultant, AI Practice Team Europe, Warrington or London (remote flexibility), reports to AI Project Manager, no direct reports.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Artefacts in this folder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Job Advert - ABS AI Consultant req 3922 (Google Doc) - full job text saved for reference.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CV ABS v1 - AI Consultant Coordinator (Google Doc) - tailored CV, base used: general consultant CV structure, rebuilt fresh rather than edited from the docx template due to a binary file transfer issue (see Notes).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Fit score at time of tailoring: 5/10.</w:t>
      </w:r>
      <w:r w:rsidDel="00000000" w:rsidR="00000000" w:rsidRPr="00000000">
        <w:rPr>
          <w:rtl w:val="0"/>
        </w:rPr>
        <w:t xml:space="preserve"> Seniority mismatch flagged: Warwick currently owns a senior portfolio; this role is a coordination/support function under a PM. Warwick confirmed he wants to pursue it anyway as a deliberate pivot.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tailoring decisions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Repositioned profile and title from 'Senior Implementation Consultant' to 'AI Delivery Coordinator' to match the actual scope of the role (coordination and support, not ownership).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Led competencies with RAID/action log management, status reporting and requirements translation, matching the job's explicit KSAs, ahead of technical delivery skills.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Surfaced AI daily-practitioner evidence prominently given the AI Consultant title.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Added newly confirmed certifications (AWS Certified Cloud Practitioner, Microsoft AZ-900, Microsoft AI-900) and Git/version-controlled repository experience, both to the CV MASTER SOURCE and this tailored CV, directly answering the job's cloud platform and Git/Jira/Confluence requirements.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Kept Bellrock portfolio ownership bullets factually intact but reframed the opening language around coordination mechanics rather than commercial ownership, to reduce the overqualification signal without misstating the role.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Condensed Northrop Grumman and Gael Quality into single-bullet summaries to protect the 2-page limit given the added certifications and competency detail.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Risks or claims to watch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Overqualification risk remains real. Recommend addressing it directly in a cover letter or screening answer, similar to the approach used for the evaluagent application, if Warwick proceeds to submit.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No maritime/industrial sector evidence exists; this is a 'nice to have' per the advert, not a blocker.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Azure/AWS/GCP exposure is now evidenced via certification rather than hands-on production experience. This is honest but should not be oversold at interview stage.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format note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Binary .docx file: CV ABS v1 - AI Consultant Coordinator.docx is now properly filed in this folder (2026-07-08). The Google Doc version also remains available. Use the .docx for submission if Warwick decides to proceed with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Master-source impact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CV MASTER SOURCE already updated 2026-07-05 with the new certifications and Git evidence ahead of this tailoring pass.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recommendation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 yet submitted. Recommend Warwick reviews the tailored CV, confirms the coordination-first positioning feels right, and decides whether a cover letter addressing the seniority pivot should be drafted before submission.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Update: The binary .docx file has been properly filed.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