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 - ENSEK Business Transformation Manager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Application folder: ENSEK-2026-07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Created: 2026-07-07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ENSEK, Business Transformation Manager, Professional Services, UK, Hybrid.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Source: https://ensek.teamtailor.com/jobs/7960155-business-transformation-manager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Found via LinkedIn.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FIT SCORE: 8/10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Strong on all essential requirements: hands-on workshops, operating model design, process redesign, coaching change champions, multi-level stakeholder engagement, enterprise SaaS platform tailoring. Gaps are all in desirable-only requirements: no UK energy sector experience, no Ignition or named CRM platform experience, no billing/customer-service/home-moving domain knowledge in energy. No new claims-control risk; role does not require budget/commercial ownership language.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CANONICAL ATTACHMENT-READY FILE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Warwick Allan - CV - ENSEK Business Transformation Manager.docx (native docx, built via docx skill, 2 pages, verified by download and byte-comparison against Drive copy on 2026-07-07). This is the only CV version in this folder; no earlier Google-Doc-derived draft exists to supersede.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JUDGEMENT CALLS MADE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Positioning reframed from consultant/PM identity to transformation and change specialist: workshops, operating model design, process redesign, coaching, adoption. Budget/commercial governance language pushed down, not led with, since the role doesn't ask for it and doesn't need the overclaim risk that comes with it.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Included Home Instead evidence: personally selected and implemented Access People Planner as CRM/scheduling platform, plus Xero and IQ Timecard, framed as direct proof of living the same manual-to-platform shift ENSEK customers are being asked to make. Chaired Home Instead IT Research Group nationally for 3 years, included as stakeholder/vendor-facing evidence.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Deliberately excluded the Bellrock ERP integration work package (Dynamics/Oracle/SAP data mapping, Interface Control Documents, API/SFTP delivery) used in the Dragonfly IT Resources CV. That evidence is ERP-integration specific and not relevant to an energy retail SaaS transformation/change role; including it would dilute the transformation-generalist narrative this role is actually screening for. Flagged to Warwick directly rather than added by default.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Kept Gael Quality Ltd (QMS) prominent to hit the "process improvement" and regulated-environment essential requirements.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AI practitioner content trimmed to one line, this role is not AI-native and doesn't ask for it; avoided over-indexing on it.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ANTI-AI WRITING SCAN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 against F247 Anti-AI Writing Source Pack. Two issues found and fixed: one em-dash removed, one "not just X" construction rewritten. Clean on second pass.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 ITEMS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No cover letter built yet; advert gives no explicit cover letter requirement and application form appeared to be an embedded Teamtailor form, not confirmed whether it accepts a separate cover letter upload.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Submission not yet made. Awaiting Warwick's go-ahead to submit or confirmation of how ENSEK's application form works.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SUBMISSION RECOMMENDATION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Proceed to submit. Fit clears the gate with no new overclaim risk.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UPDATE 2026-07-07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Cover letter built: Warwick Allan - Cover Letter - ENSEK Business Transformation Manager.docx (native docx, 1 page). Kept deliberately short and non-duplicative of the CV per Warwick's feedback that recent cover letters ran long and repeated CV content. Structure: hook, one concrete proof point (Access People Planner as lived change evidence), direct acknowledgement of the energy-sector gap, close. No bullet lists, no re-statement of the full career history.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Application form fields: current salary £52,500 (confirmed by Warwick), expected salary field also present. Advised Warwick using UK market data (Glassdoor, ITJobsWatch, Robert Half, June-2026 sources): Business Transformation Manager median roughly £61k-£65k nationally, 25th-75th percentile band roughly £48k-£87k depending on employer and location. Recommended an expected salary range in the £58,000-£66,000 band as a starting figure, reflecting a genuine step up from current £52,500 without overshooting into Director-level territory the role isn't scoped for. Final figure is Warwick's call.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