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4"/>
          <w:szCs w:val="34"/>
        </w:rPr>
        <w:t xml:space="preserve">WARWICK ALLAN</w:t>
      </w:r>
    </w:p>
    <w:p>
      <w:pPr>
        <w:spacing w:after="40"/>
        <w:jc w:val="center"/>
      </w:pPr>
      <w:r>
        <w:rPr>
          <w:rFonts w:ascii="Calibri" w:cs="Calibri" w:eastAsia="Calibri" w:hAnsi="Calibri"/>
          <w:color w:val="555555"/>
          <w:sz w:val="21"/>
          <w:szCs w:val="21"/>
        </w:rPr>
        <w:t xml:space="preserve">Project Manager | ERP &amp; SaaS Implementation Delivery</w:t>
      </w:r>
    </w:p>
    <w:p>
      <w:pPr>
        <w:pBdr>
          <w:bottom w:val="single" w:color="1F3864" w:sz="8" w:space="4"/>
        </w:pBdr>
        <w:spacing w:after="100"/>
        <w:jc w:val="center"/>
      </w:pPr>
      <w:r>
        <w:rPr>
          <w:rFonts w:ascii="Calibri" w:cs="Calibri" w:eastAsia="Calibri" w:hAnsi="Calibri"/>
          <w:sz w:val="18"/>
          <w:szCs w:val="18"/>
        </w:rPr>
        <w:t xml:space="preserve">Chester, UK  |  07553 029716  |  warwickallan@outlook.com</w:t>
      </w:r>
    </w:p>
    <w:p>
      <w:pPr>
        <w:pBdr>
          <w:bottom w:val="single" w:color="1F3864" w:sz="6" w:space="2"/>
        </w:pBdr>
        <w:spacing w:after="60" w:before="180"/>
      </w:pPr>
      <w:r>
        <w:rPr>
          <w:rFonts w:ascii="Calibri" w:cs="Calibri" w:eastAsia="Calibri" w:hAnsi="Calibri"/>
          <w:b/>
          <w:bCs/>
          <w:color w:val="1F3864"/>
          <w:sz w:val="20"/>
          <w:szCs w:val="20"/>
        </w:rPr>
        <w:t xml:space="preserve">PROFESSIONAL PROFILE</w:t>
      </w:r>
    </w:p>
    <w:p>
      <w:pPr>
        <w:spacing w:after="90" w:line="264"/>
      </w:pPr>
      <w:r>
        <w:rPr>
          <w:rFonts w:ascii="Calibri" w:cs="Calibri" w:eastAsia="Calibri" w:hAnsi="Calibri"/>
          <w:sz w:val="20"/>
          <w:szCs w:val="20"/>
        </w:rPr>
        <w:t xml:space="preserve">Project manager with a strong track record delivering enterprise SaaS and ERP-adjacent implementations into regulated, high-stakes environments including NHS Trusts, Local Authorities, aviation, logistics and financial corporates. Currently manages a portfolio of concurrent implementations from discovery through configuration, go-live and handover, working directly with customer stakeholders at every stage.</w:t>
      </w:r>
    </w:p>
    <w:p>
      <w:pPr>
        <w:spacing w:after="90" w:line="264"/>
      </w:pPr>
      <w:r>
        <w:rPr>
          <w:rFonts w:ascii="Calibri" w:cs="Calibri" w:eastAsia="Calibri" w:hAnsi="Calibri"/>
          <w:sz w:val="20"/>
          <w:szCs w:val="20"/>
        </w:rPr>
        <w:t xml:space="preserve">Works within a live ERP integration work package linking the core delivery platform to Microsoft Dynamics, Oracle and SAP: runs data mapping workshops, produces the Interface Control Document (ICD), and delivers integrations via API or SFTP. Also configures finance-adjacent functionality including invoicing, certificate management, uplift business cases and reconciliation to customer-specific business rules.</w:t>
      </w:r>
    </w:p>
    <w:p>
      <w:pPr>
        <w:spacing w:after="40" w:line="264"/>
      </w:pPr>
      <w:r>
        <w:rPr>
          <w:rFonts w:ascii="Calibri" w:cs="Calibri" w:eastAsia="Calibri" w:hAnsi="Calibri"/>
          <w:sz w:val="20"/>
          <w:szCs w:val="20"/>
        </w:rPr>
        <w:t xml:space="preserve">Broader systems background spans Xero, SAGE and SAP touchpoints across three employers, plus building and running a £2.2M-turnover business as an owner-operator. Comfortable managing multiple concurrent stakeholder groups across technical and non-technical audiences, running kick-offs, status updates, risk reviews and go-live planning as standard practice.</w:t>
      </w:r>
    </w:p>
    <w:p>
      <w:pPr>
        <w:pBdr>
          <w:bottom w:val="single" w:color="1F3864" w:sz="6" w:space="2"/>
        </w:pBdr>
        <w:spacing w:after="60" w:before="180"/>
      </w:pPr>
      <w:r>
        <w:rPr>
          <w:rFonts w:ascii="Calibri" w:cs="Calibri" w:eastAsia="Calibri" w:hAnsi="Calibri"/>
          <w:b/>
          <w:bCs/>
          <w:color w:val="1F3864"/>
          <w:sz w:val="20"/>
          <w:szCs w:val="20"/>
        </w:rPr>
        <w:t xml:space="preserve">CORE COMPETENCIES</w:t>
      </w:r>
    </w:p>
    <w:p>
      <w:pPr>
        <w:spacing w:after="70" w:line="254"/>
      </w:pPr>
      <w:r>
        <w:rPr>
          <w:rFonts w:ascii="Calibri" w:cs="Calibri" w:eastAsia="Calibri" w:hAnsi="Calibri"/>
          <w:b/>
          <w:bCs/>
          <w:sz w:val="19"/>
          <w:szCs w:val="19"/>
        </w:rPr>
        <w:t xml:space="preserve">Delivery &amp; Governance: </w:t>
      </w:r>
      <w:r>
        <w:rPr>
          <w:rFonts w:ascii="Calibri" w:cs="Calibri" w:eastAsia="Calibri" w:hAnsi="Calibri"/>
          <w:sz w:val="19"/>
          <w:szCs w:val="19"/>
        </w:rPr>
        <w:t xml:space="preserve">End-to-End SaaS/ERP Implementation Ownership · Multi-Project Portfolio Management (8–10 Concurrent) · Delivery Governance &amp; Risk Management (RAID) · Structured Project Planning &amp; Go-Live Readiness</w:t>
      </w:r>
    </w:p>
    <w:p>
      <w:pPr>
        <w:spacing w:after="70" w:line="254"/>
      </w:pPr>
      <w:r>
        <w:rPr>
          <w:rFonts w:ascii="Calibri" w:cs="Calibri" w:eastAsia="Calibri" w:hAnsi="Calibri"/>
          <w:b/>
          <w:bCs/>
          <w:sz w:val="19"/>
          <w:szCs w:val="19"/>
        </w:rPr>
        <w:t xml:space="preserve">Stakeholder &amp; Customer Management: </w:t>
      </w:r>
      <w:r>
        <w:rPr>
          <w:rFonts w:ascii="Calibri" w:cs="Calibri" w:eastAsia="Calibri" w:hAnsi="Calibri"/>
          <w:sz w:val="19"/>
          <w:szCs w:val="19"/>
        </w:rPr>
        <w:t xml:space="preserve">Senior Stakeholder Management · Discovery &amp; Requirements Workshops · Status, Risk &amp; Go-Live Reviews · Escalation Handling · Change Management</w:t>
      </w:r>
    </w:p>
    <w:p>
      <w:pPr>
        <w:spacing w:after="70" w:line="254"/>
      </w:pPr>
      <w:r>
        <w:rPr>
          <w:rFonts w:ascii="Calibri" w:cs="Calibri" w:eastAsia="Calibri" w:hAnsi="Calibri"/>
          <w:b/>
          <w:bCs/>
          <w:sz w:val="19"/>
          <w:szCs w:val="19"/>
        </w:rPr>
        <w:t xml:space="preserve">ERP Integration &amp; Finance Systems: </w:t>
      </w:r>
      <w:r>
        <w:rPr>
          <w:rFonts w:ascii="Calibri" w:cs="Calibri" w:eastAsia="Calibri" w:hAnsi="Calibri"/>
          <w:sz w:val="19"/>
          <w:szCs w:val="19"/>
        </w:rPr>
        <w:t xml:space="preserve">ERP Data Mapping &amp; Interface Design (Dynamics, Oracle, SAP) · API &amp; SFTP Integration Delivery · Finance-Adjacent Configuration (Invoicing, Reconciliation, Approvals) · SAGE, Xero &amp; SAP Exposure</w:t>
      </w:r>
    </w:p>
    <w:p>
      <w:pPr>
        <w:spacing w:after="70" w:line="254"/>
      </w:pPr>
      <w:r>
        <w:rPr>
          <w:rFonts w:ascii="Calibri" w:cs="Calibri" w:eastAsia="Calibri" w:hAnsi="Calibri"/>
          <w:b/>
          <w:bCs/>
          <w:sz w:val="19"/>
          <w:szCs w:val="19"/>
        </w:rPr>
        <w:t xml:space="preserve">Tools &amp; Reporting: </w:t>
      </w:r>
      <w:r>
        <w:rPr>
          <w:rFonts w:ascii="Calibri" w:cs="Calibri" w:eastAsia="Calibri" w:hAnsi="Calibri"/>
          <w:sz w:val="19"/>
          <w:szCs w:val="19"/>
        </w:rPr>
        <w:t xml:space="preserve">Jira · Confluence · SQL &amp; Power BI Reporting · UAT &amp; Hypercare · Data Migration</w:t>
      </w:r>
    </w:p>
    <w:p>
      <w:pPr>
        <w:pBdr>
          <w:bottom w:val="single" w:color="1F3864" w:sz="6" w:space="2"/>
        </w:pBdr>
        <w:spacing w:after="60" w:before="180"/>
      </w:pPr>
      <w:r>
        <w:rPr>
          <w:rFonts w:ascii="Calibri" w:cs="Calibri" w:eastAsia="Calibri" w:hAnsi="Calibri"/>
          <w:b/>
          <w:bCs/>
          <w:color w:val="1F3864"/>
          <w:sz w:val="20"/>
          <w:szCs w:val="20"/>
        </w:rPr>
        <w:t xml:space="preserve">PROFESSIONAL EXPERIENCE</w:t>
      </w:r>
    </w:p>
    <w:p>
      <w:pPr>
        <w:spacing w:after="20" w:before="140"/>
      </w:pPr>
      <w:r>
        <w:rPr>
          <w:rFonts w:ascii="Calibri" w:cs="Calibri" w:eastAsia="Calibri" w:hAnsi="Calibri"/>
          <w:b/>
          <w:bCs/>
          <w:sz w:val="21"/>
          <w:szCs w:val="21"/>
        </w:rPr>
        <w:t xml:space="preserve">Senior Implementation Project Manager (Lead Consultant)</w:t>
      </w:r>
    </w:p>
    <w:p>
      <w:pPr>
        <w:tabs>
          <w:tab w:val="right" w:pos="9360"/>
        </w:tabs>
        <w:spacing w:after="60"/>
      </w:pPr>
      <w:r>
        <w:rPr>
          <w:rFonts w:ascii="Calibri" w:cs="Calibri" w:eastAsia="Calibri" w:hAnsi="Calibri"/>
          <w:i/>
          <w:iCs/>
          <w:color w:val="555555"/>
          <w:sz w:val="19"/>
          <w:szCs w:val="19"/>
        </w:rPr>
        <w:t xml:space="preserve">Bellrock Technologies | Concerto CAFM/IWMS</w:t>
      </w:r>
      <w:r>
        <w:rPr>
          <w:rFonts w:ascii="Calibri" w:cs="Calibri" w:eastAsia="Calibri" w:hAnsi="Calibri"/>
          <w:i/>
          <w:iCs/>
          <w:color w:val="555555"/>
          <w:sz w:val="19"/>
          <w:szCs w:val="19"/>
        </w:rPr>
        <w:t xml:space="preserve">	April 2025 – Present</w:t>
      </w:r>
    </w:p>
    <w:p>
      <w:pPr>
        <w:pStyle w:val="ListParagraph"/>
        <w:numPr>
          <w:ilvl w:val="0"/>
          <w:numId w:val="2"/>
        </w:numPr>
        <w:spacing w:after="40" w:line="254"/>
      </w:pPr>
      <w:r>
        <w:rPr>
          <w:rFonts w:ascii="Calibri" w:cs="Calibri" w:eastAsia="Calibri" w:hAnsi="Calibri"/>
          <w:sz w:val="19"/>
          <w:szCs w:val="19"/>
        </w:rPr>
        <w:t xml:space="preserve">Owns end-to-end delivery of enterprise CAFM/IWMS implementations for NHS Trusts, Local Authorities and Universities, from sales handover through to formal support transition.</w:t>
      </w:r>
    </w:p>
    <w:p>
      <w:pPr>
        <w:pStyle w:val="ListParagraph"/>
        <w:numPr>
          <w:ilvl w:val="0"/>
          <w:numId w:val="2"/>
        </w:numPr>
        <w:spacing w:after="40" w:line="254"/>
      </w:pPr>
      <w:r>
        <w:rPr>
          <w:rFonts w:ascii="Calibri" w:cs="Calibri" w:eastAsia="Calibri" w:hAnsi="Calibri"/>
          <w:sz w:val="19"/>
          <w:szCs w:val="19"/>
        </w:rPr>
        <w:t xml:space="preserve">Manages delivery risk and customer outcomes across a portfolio of 8–10 concurrent implementations (£80,000 to £325,000 each), accountable for budget, schedule and customer outcome on every project.</w:t>
      </w:r>
    </w:p>
    <w:p>
      <w:pPr>
        <w:pStyle w:val="ListParagraph"/>
        <w:numPr>
          <w:ilvl w:val="0"/>
          <w:numId w:val="2"/>
        </w:numPr>
        <w:spacing w:after="40" w:line="254"/>
      </w:pPr>
      <w:r>
        <w:rPr>
          <w:rFonts w:ascii="Calibri" w:cs="Calibri" w:eastAsia="Calibri" w:hAnsi="Calibri"/>
          <w:sz w:val="19"/>
          <w:szCs w:val="19"/>
        </w:rPr>
        <w:t xml:space="preserve">Trusted point of contact for senior Trust-level sponsors, Heads of Facilities and IT leadership on systems supporting up to 5,000 operational users, including Salisbury NHS Foundation Trust, North Bristol NHS Trust, University of Plymouth and West Northamptonshire Council.</w:t>
      </w:r>
    </w:p>
    <w:p>
      <w:pPr>
        <w:pStyle w:val="ListParagraph"/>
        <w:numPr>
          <w:ilvl w:val="0"/>
          <w:numId w:val="2"/>
        </w:numPr>
        <w:spacing w:after="40" w:line="254"/>
      </w:pPr>
      <w:r>
        <w:rPr>
          <w:rFonts w:ascii="Calibri" w:cs="Calibri" w:eastAsia="Calibri" w:hAnsi="Calibri"/>
          <w:sz w:val="19"/>
          <w:szCs w:val="19"/>
        </w:rPr>
        <w:t xml:space="preserve">Runs the integrations work package linking Concerto to customer ERP systems including Microsoft Dynamics, Oracle and SAP: leads data mapping workshops, produces the Interface Control Document (ICD), and delivers via API or SFTP depending on the target landscape.</w:t>
      </w:r>
    </w:p>
    <w:p>
      <w:pPr>
        <w:pStyle w:val="ListParagraph"/>
        <w:numPr>
          <w:ilvl w:val="0"/>
          <w:numId w:val="2"/>
        </w:numPr>
        <w:spacing w:after="40" w:line="254"/>
      </w:pPr>
      <w:r>
        <w:rPr>
          <w:rFonts w:ascii="Calibri" w:cs="Calibri" w:eastAsia="Calibri" w:hAnsi="Calibri"/>
          <w:sz w:val="19"/>
          <w:szCs w:val="19"/>
        </w:rPr>
        <w:t xml:space="preserve">Configures Concerto's supplier and workforce management functionality alongside finance-adjacent capability spanning invoices, certificates, uplifts and business cases, and reconciliation, building workflows to match customer-specific rules.</w:t>
      </w:r>
    </w:p>
    <w:p>
      <w:pPr>
        <w:pStyle w:val="ListParagraph"/>
        <w:numPr>
          <w:ilvl w:val="0"/>
          <w:numId w:val="2"/>
        </w:numPr>
        <w:spacing w:after="40" w:line="254"/>
      </w:pPr>
      <w:r>
        <w:rPr>
          <w:rFonts w:ascii="Calibri" w:cs="Calibri" w:eastAsia="Calibri" w:hAnsi="Calibri"/>
          <w:sz w:val="19"/>
          <w:szCs w:val="19"/>
        </w:rPr>
        <w:t xml:space="preserve">Specs and personally builds core platform configuration for each implementation, then engages and directs specialist consultants on defined work packages. Maps core schema via direct SQL queries where no documentation exists, building reports and dashboards through Power BI.</w:t>
      </w:r>
    </w:p>
    <w:p>
      <w:pPr>
        <w:spacing w:after="20" w:before="140"/>
      </w:pPr>
      <w:r>
        <w:rPr>
          <w:rFonts w:ascii="Calibri" w:cs="Calibri" w:eastAsia="Calibri" w:hAnsi="Calibri"/>
          <w:b/>
          <w:bCs/>
          <w:sz w:val="21"/>
          <w:szCs w:val="21"/>
        </w:rPr>
        <w:t xml:space="preserve">Implementation Project Manager</w:t>
      </w:r>
    </w:p>
    <w:p>
      <w:pPr>
        <w:tabs>
          <w:tab w:val="right" w:pos="9360"/>
        </w:tabs>
        <w:spacing w:after="60"/>
      </w:pPr>
      <w:r>
        <w:rPr>
          <w:rFonts w:ascii="Calibri" w:cs="Calibri" w:eastAsia="Calibri" w:hAnsi="Calibri"/>
          <w:i/>
          <w:iCs/>
          <w:color w:val="555555"/>
          <w:sz w:val="19"/>
          <w:szCs w:val="19"/>
        </w:rPr>
        <w:t xml:space="preserve">AEB International</w:t>
      </w:r>
      <w:r>
        <w:rPr>
          <w:rFonts w:ascii="Calibri" w:cs="Calibri" w:eastAsia="Calibri" w:hAnsi="Calibri"/>
          <w:i/>
          <w:iCs/>
          <w:color w:val="555555"/>
          <w:sz w:val="19"/>
          <w:szCs w:val="19"/>
        </w:rPr>
        <w:t xml:space="preserve">	January 2023 – April 2025</w:t>
      </w:r>
    </w:p>
    <w:p>
      <w:pPr>
        <w:pStyle w:val="ListParagraph"/>
        <w:numPr>
          <w:ilvl w:val="0"/>
          <w:numId w:val="2"/>
        </w:numPr>
        <w:spacing w:after="40" w:line="254"/>
      </w:pPr>
      <w:r>
        <w:rPr>
          <w:rFonts w:ascii="Calibri" w:cs="Calibri" w:eastAsia="Calibri" w:hAnsi="Calibri"/>
          <w:sz w:val="19"/>
          <w:szCs w:val="19"/>
        </w:rPr>
        <w:t xml:space="preserve">Delivered enterprise SaaS implementations supporting global customs, logistics and trade compliance operations across the UK, Europe and North America.</w:t>
      </w:r>
    </w:p>
    <w:p>
      <w:pPr>
        <w:pStyle w:val="ListParagraph"/>
        <w:numPr>
          <w:ilvl w:val="0"/>
          <w:numId w:val="2"/>
        </w:numPr>
        <w:spacing w:after="40" w:line="254"/>
      </w:pPr>
      <w:r>
        <w:rPr>
          <w:rFonts w:ascii="Calibri" w:cs="Calibri" w:eastAsia="Calibri" w:hAnsi="Calibri"/>
          <w:sz w:val="19"/>
          <w:szCs w:val="19"/>
        </w:rPr>
        <w:t xml:space="preserve">Owned the full implementation lifecycle for enterprise accounts including ADM, DPL and Royal Avebe, on contracts from £50,000 to over €1,000,000, serving as escalation point when delivery risk emerged.</w:t>
      </w:r>
    </w:p>
    <w:p>
      <w:pPr>
        <w:pStyle w:val="ListParagraph"/>
        <w:numPr>
          <w:ilvl w:val="0"/>
          <w:numId w:val="2"/>
        </w:numPr>
        <w:spacing w:after="40" w:line="254"/>
      </w:pPr>
      <w:r>
        <w:rPr>
          <w:rFonts w:ascii="Calibri" w:cs="Calibri" w:eastAsia="Calibri" w:hAnsi="Calibri"/>
          <w:sz w:val="19"/>
          <w:szCs w:val="19"/>
        </w:rPr>
        <w:t xml:space="preserve">Acted as lead consultant and technical SME on customs and trade-compliance processes, integrations and APIs, working directly with SAGE, Xero and SAP integrations alongside SSO and third-party integrations.</w:t>
      </w:r>
    </w:p>
    <w:p>
      <w:pPr>
        <w:spacing w:after="20" w:before="140"/>
      </w:pPr>
      <w:r>
        <w:rPr>
          <w:rFonts w:ascii="Calibri" w:cs="Calibri" w:eastAsia="Calibri" w:hAnsi="Calibri"/>
          <w:b/>
          <w:bCs/>
          <w:sz w:val="21"/>
          <w:szCs w:val="21"/>
        </w:rPr>
        <w:t xml:space="preserve">Franchise Owner &amp; Managing Director</w:t>
      </w:r>
    </w:p>
    <w:p>
      <w:pPr>
        <w:tabs>
          <w:tab w:val="right" w:pos="9360"/>
        </w:tabs>
        <w:spacing w:after="60"/>
      </w:pPr>
      <w:r>
        <w:rPr>
          <w:rFonts w:ascii="Calibri" w:cs="Calibri" w:eastAsia="Calibri" w:hAnsi="Calibri"/>
          <w:i/>
          <w:iCs/>
          <w:color w:val="555555"/>
          <w:sz w:val="19"/>
          <w:szCs w:val="19"/>
        </w:rPr>
        <w:t xml:space="preserve">Home Instead Senior Care</w:t>
      </w:r>
      <w:r>
        <w:rPr>
          <w:rFonts w:ascii="Calibri" w:cs="Calibri" w:eastAsia="Calibri" w:hAnsi="Calibri"/>
          <w:i/>
          <w:iCs/>
          <w:color w:val="555555"/>
          <w:sz w:val="19"/>
          <w:szCs w:val="19"/>
        </w:rPr>
        <w:t xml:space="preserve">	April 2016 – December 2022</w:t>
      </w:r>
    </w:p>
    <w:p>
      <w:pPr>
        <w:pStyle w:val="ListParagraph"/>
        <w:numPr>
          <w:ilvl w:val="0"/>
          <w:numId w:val="2"/>
        </w:numPr>
        <w:spacing w:after="40" w:line="254"/>
      </w:pPr>
      <w:r>
        <w:rPr>
          <w:rFonts w:ascii="Calibri" w:cs="Calibri" w:eastAsia="Calibri" w:hAnsi="Calibri"/>
          <w:sz w:val="19"/>
          <w:szCs w:val="19"/>
        </w:rPr>
        <w:t xml:space="preserve">Built and ran an independent homecare franchise from launch with full P&amp;L, operational and board-level accountability, growing the business to £2.2M annual turnover within 3 years, ranked 4th of 224 franchises nationally.</w:t>
      </w:r>
    </w:p>
    <w:p>
      <w:pPr>
        <w:pStyle w:val="ListParagraph"/>
        <w:numPr>
          <w:ilvl w:val="0"/>
          <w:numId w:val="2"/>
        </w:numPr>
        <w:spacing w:after="40" w:line="254"/>
      </w:pPr>
      <w:r>
        <w:rPr>
          <w:rFonts w:ascii="Calibri" w:cs="Calibri" w:eastAsia="Calibri" w:hAnsi="Calibri"/>
          <w:sz w:val="19"/>
          <w:szCs w:val="19"/>
        </w:rPr>
        <w:t xml:space="preserve">Implemented Xero for accounts and payroll, Access People Planner as CRM/scheduling/staff resource system, IQ Timecard for workforce time and attendance, and Zoho as the franchise learning management system.</w:t>
      </w:r>
    </w:p>
    <w:p>
      <w:pPr>
        <w:pStyle w:val="ListParagraph"/>
        <w:numPr>
          <w:ilvl w:val="0"/>
          <w:numId w:val="2"/>
        </w:numPr>
        <w:spacing w:after="40" w:line="254"/>
      </w:pPr>
      <w:r>
        <w:rPr>
          <w:rFonts w:ascii="Calibri" w:cs="Calibri" w:eastAsia="Calibri" w:hAnsi="Calibri"/>
          <w:sz w:val="19"/>
          <w:szCs w:val="19"/>
        </w:rPr>
        <w:t xml:space="preserve">Chaired the Home Instead IT Research Group for 3 years, liaising between franchise owners nationally and software vendors on product development and roadmap input.</w:t>
      </w:r>
    </w:p>
    <w:p>
      <w:pPr>
        <w:spacing w:after="20" w:before="140"/>
      </w:pPr>
      <w:r>
        <w:rPr>
          <w:rFonts w:ascii="Calibri" w:cs="Calibri" w:eastAsia="Calibri" w:hAnsi="Calibri"/>
          <w:b/>
          <w:bCs/>
          <w:sz w:val="21"/>
          <w:szCs w:val="21"/>
        </w:rPr>
        <w:t xml:space="preserve">Software Implementation Consultant</w:t>
      </w:r>
    </w:p>
    <w:p>
      <w:pPr>
        <w:tabs>
          <w:tab w:val="right" w:pos="9360"/>
        </w:tabs>
        <w:spacing w:after="60"/>
      </w:pPr>
      <w:r>
        <w:rPr>
          <w:rFonts w:ascii="Calibri" w:cs="Calibri" w:eastAsia="Calibri" w:hAnsi="Calibri"/>
          <w:i/>
          <w:iCs/>
          <w:color w:val="555555"/>
          <w:sz w:val="19"/>
          <w:szCs w:val="19"/>
        </w:rPr>
        <w:t xml:space="preserve">Northrop Grumman</w:t>
      </w:r>
      <w:r>
        <w:rPr>
          <w:rFonts w:ascii="Calibri" w:cs="Calibri" w:eastAsia="Calibri" w:hAnsi="Calibri"/>
          <w:i/>
          <w:iCs/>
          <w:color w:val="555555"/>
          <w:sz w:val="19"/>
          <w:szCs w:val="19"/>
        </w:rPr>
        <w:t xml:space="preserve">	May 2011 – January 2016</w:t>
      </w:r>
    </w:p>
    <w:p>
      <w:pPr>
        <w:pStyle w:val="ListParagraph"/>
        <w:numPr>
          <w:ilvl w:val="0"/>
          <w:numId w:val="2"/>
        </w:numPr>
        <w:spacing w:after="40" w:line="254"/>
      </w:pPr>
      <w:r>
        <w:rPr>
          <w:rFonts w:ascii="Calibri" w:cs="Calibri" w:eastAsia="Calibri" w:hAnsi="Calibri"/>
          <w:sz w:val="19"/>
          <w:szCs w:val="19"/>
        </w:rPr>
        <w:t xml:space="preserve">Full-lifecycle delivery of Airport Collaborative Decision Making (A-CDM) implementations for major international airports including Heathrow and Rome Fiumicino: requirements, configuration, training and go-live in zero-tolerance, multi-stakeholder environments.</w:t>
      </w:r>
    </w:p>
    <w:p>
      <w:pPr>
        <w:spacing w:after="20" w:before="140"/>
      </w:pPr>
      <w:r>
        <w:rPr>
          <w:rFonts w:ascii="Calibri" w:cs="Calibri" w:eastAsia="Calibri" w:hAnsi="Calibri"/>
          <w:b/>
          <w:bCs/>
          <w:sz w:val="21"/>
          <w:szCs w:val="21"/>
        </w:rPr>
        <w:t xml:space="preserve">Software Implementation Consultant (Quality Management Systems)</w:t>
      </w:r>
    </w:p>
    <w:p>
      <w:pPr>
        <w:tabs>
          <w:tab w:val="right" w:pos="9360"/>
        </w:tabs>
        <w:spacing w:after="60"/>
      </w:pPr>
      <w:r>
        <w:rPr>
          <w:rFonts w:ascii="Calibri" w:cs="Calibri" w:eastAsia="Calibri" w:hAnsi="Calibri"/>
          <w:i/>
          <w:iCs/>
          <w:color w:val="555555"/>
          <w:sz w:val="19"/>
          <w:szCs w:val="19"/>
        </w:rPr>
        <w:t xml:space="preserve">Gael Quality Ltd</w:t>
      </w:r>
      <w:r>
        <w:rPr>
          <w:rFonts w:ascii="Calibri" w:cs="Calibri" w:eastAsia="Calibri" w:hAnsi="Calibri"/>
          <w:i/>
          <w:iCs/>
          <w:color w:val="555555"/>
          <w:sz w:val="19"/>
          <w:szCs w:val="19"/>
        </w:rPr>
        <w:t xml:space="preserve">	January 2007 – April 2011</w:t>
      </w:r>
    </w:p>
    <w:p>
      <w:pPr>
        <w:pStyle w:val="ListParagraph"/>
        <w:numPr>
          <w:ilvl w:val="0"/>
          <w:numId w:val="2"/>
        </w:numPr>
        <w:spacing w:after="40" w:line="254"/>
      </w:pPr>
      <w:r>
        <w:rPr>
          <w:rFonts w:ascii="Calibri" w:cs="Calibri" w:eastAsia="Calibri" w:hAnsi="Calibri"/>
          <w:sz w:val="19"/>
          <w:szCs w:val="19"/>
        </w:rPr>
        <w:t xml:space="preserve">Five years implementing Quality, Audit, Compliance and Incident Management software into regulated organisations spanning healthcare, aviation, life sciences and financial services, managing projects from requirements through go-live and supporting pre-sales and tenders.</w:t>
      </w:r>
    </w:p>
    <w:p>
      <w:pPr>
        <w:pBdr>
          <w:bottom w:val="single" w:color="1F3864" w:sz="6" w:space="2"/>
        </w:pBdr>
        <w:spacing w:after="60" w:before="180"/>
      </w:pPr>
      <w:r>
        <w:rPr>
          <w:rFonts w:ascii="Calibri" w:cs="Calibri" w:eastAsia="Calibri" w:hAnsi="Calibri"/>
          <w:b/>
          <w:bCs/>
          <w:color w:val="1F3864"/>
          <w:sz w:val="20"/>
          <w:szCs w:val="20"/>
        </w:rPr>
        <w:t xml:space="preserve">EDUCATION &amp; CERTIFICATIONS</w:t>
      </w:r>
    </w:p>
    <w:p>
      <w:pPr>
        <w:spacing w:after="40" w:line="264"/>
      </w:pPr>
      <w:r>
        <w:rPr>
          <w:rFonts w:ascii="Calibri" w:cs="Calibri" w:eastAsia="Calibri" w:hAnsi="Calibri"/>
          <w:sz w:val="20"/>
          <w:szCs w:val="20"/>
        </w:rPr>
        <w:t xml:space="preserve">MSc Information Technology, University of Liverpool     |     CPMAI (Cognitive Project Management for AI), in progress</w:t>
      </w:r>
    </w:p>
    <w:p>
      <w:pPr>
        <w:pBdr>
          <w:bottom w:val="single" w:color="1F3864" w:sz="6" w:space="2"/>
        </w:pBdr>
        <w:spacing w:after="60" w:before="180"/>
      </w:pPr>
      <w:r>
        <w:rPr>
          <w:rFonts w:ascii="Calibri" w:cs="Calibri" w:eastAsia="Calibri" w:hAnsi="Calibri"/>
          <w:b/>
          <w:bCs/>
          <w:color w:val="1F3864"/>
          <w:sz w:val="20"/>
          <w:szCs w:val="20"/>
        </w:rPr>
        <w:t xml:space="preserve">TECHNICAL SKILLS</w:t>
      </w:r>
    </w:p>
    <w:p>
      <w:pPr>
        <w:spacing w:after="70" w:line="254"/>
      </w:pPr>
      <w:r>
        <w:rPr>
          <w:rFonts w:ascii="Calibri" w:cs="Calibri" w:eastAsia="Calibri" w:hAnsi="Calibri"/>
          <w:b/>
          <w:bCs/>
          <w:sz w:val="19"/>
          <w:szCs w:val="19"/>
        </w:rPr>
        <w:t xml:space="preserve">ERP &amp; Finance Systems: </w:t>
      </w:r>
      <w:r>
        <w:rPr>
          <w:rFonts w:ascii="Calibri" w:cs="Calibri" w:eastAsia="Calibri" w:hAnsi="Calibri"/>
          <w:sz w:val="19"/>
          <w:szCs w:val="19"/>
        </w:rPr>
        <w:t xml:space="preserve">Microsoft Dynamics, Oracle &amp; SAP Integration (Data Mapping, ICDs, API/SFTP) · SAGE &amp; Xero Exposure · Finance-Adjacent Configuration</w:t>
      </w:r>
    </w:p>
    <w:p>
      <w:pPr>
        <w:spacing w:after="70" w:line="254"/>
      </w:pPr>
      <w:r>
        <w:rPr>
          <w:rFonts w:ascii="Calibri" w:cs="Calibri" w:eastAsia="Calibri" w:hAnsi="Calibri"/>
          <w:b/>
          <w:bCs/>
          <w:sz w:val="19"/>
          <w:szCs w:val="19"/>
        </w:rPr>
        <w:t xml:space="preserve">Platforms &amp; Tools: </w:t>
      </w:r>
      <w:r>
        <w:rPr>
          <w:rFonts w:ascii="Calibri" w:cs="Calibri" w:eastAsia="Calibri" w:hAnsi="Calibri"/>
          <w:sz w:val="19"/>
          <w:szCs w:val="19"/>
        </w:rPr>
        <w:t xml:space="preserve">Concerto CAFM · Jira · Confluence · Microsoft 365 · Azure AD · Postman · Swagger</w:t>
      </w:r>
    </w:p>
    <w:p>
      <w:pPr>
        <w:spacing w:after="70" w:line="254"/>
      </w:pPr>
      <w:r>
        <w:rPr>
          <w:rFonts w:ascii="Calibri" w:cs="Calibri" w:eastAsia="Calibri" w:hAnsi="Calibri"/>
          <w:b/>
          <w:bCs/>
          <w:sz w:val="19"/>
          <w:szCs w:val="19"/>
        </w:rPr>
        <w:t xml:space="preserve">Data &amp; Integration: </w:t>
      </w:r>
      <w:r>
        <w:rPr>
          <w:rFonts w:ascii="Calibri" w:cs="Calibri" w:eastAsia="Calibri" w:hAnsi="Calibri"/>
          <w:sz w:val="19"/>
          <w:szCs w:val="19"/>
        </w:rPr>
        <w:t xml:space="preserve">SQL · REST APIs · JSON/XML · SSO · Data Migration</w:t>
      </w:r>
    </w:p>
    <w:p>
      <w:pPr>
        <w:spacing w:after="70" w:line="254"/>
      </w:pPr>
      <w:r>
        <w:rPr>
          <w:rFonts w:ascii="Calibri" w:cs="Calibri" w:eastAsia="Calibri" w:hAnsi="Calibri"/>
          <w:b/>
          <w:bCs/>
          <w:sz w:val="19"/>
          <w:szCs w:val="19"/>
        </w:rPr>
        <w:t xml:space="preserve">Reporting &amp; Analysis: </w:t>
      </w:r>
      <w:r>
        <w:rPr>
          <w:rFonts w:ascii="Calibri" w:cs="Calibri" w:eastAsia="Calibri" w:hAnsi="Calibri"/>
          <w:sz w:val="19"/>
          <w:szCs w:val="19"/>
        </w:rPr>
        <w:t xml:space="preserve">Power BI · SQL Reporting · Advanced Excel · Forecasting &amp; Utilisation Reporting</w:t>
      </w:r>
    </w:p>
    <w:sectPr>
      <w:pgSz w:w="11906" w:h="16838"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2026-07-07T17:00:24.507Z</dcterms:created>
  <dcterms:modified xsi:type="dcterms:W3CDTF">2026-07-07T17:00:24.508Z</dcterms:modified>
</cp:coreProperties>
</file>

<file path=docProps/custom.xml><?xml version="1.0" encoding="utf-8"?>
<Properties xmlns="http://schemas.openxmlformats.org/officeDocument/2006/custom-properties" xmlns:vt="http://schemas.openxmlformats.org/officeDocument/2006/docPropsVTypes"/>
</file>