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WARWICK ALLAN</w:t>
      </w:r>
    </w:p>
    <w:p>
      <w:pPr>
        <w:spacing w:after="260"/>
      </w:pPr>
      <w:r>
        <w:rPr>
          <w:rFonts w:ascii="Calibri" w:cs="Calibri" w:eastAsia="Calibri" w:hAnsi="Calibri"/>
          <w:sz w:val="18"/>
          <w:szCs w:val="18"/>
        </w:rPr>
        <w:t xml:space="preserve">Chester, UK  |  07553 029716  |  warwickallan@outlook.com</w:t>
      </w:r>
    </w:p>
    <w:p>
      <w:pPr>
        <w:spacing w:after="260"/>
      </w:pPr>
      <w:r>
        <w:rPr>
          <w:rFonts w:ascii="Calibri" w:cs="Calibri" w:eastAsia="Calibri" w:hAnsi="Calibri"/>
          <w:sz w:val="21"/>
          <w:szCs w:val="21"/>
        </w:rPr>
        <w:t xml:space="preserve">7 July 2026</w:t>
      </w:r>
    </w:p>
    <w:p>
      <w:pPr>
        <w:spacing w:after="200" w:line="276"/>
      </w:pPr>
      <w:r>
        <w:rPr>
          <w:rFonts w:ascii="Calibri" w:cs="Calibri" w:eastAsia="Calibri" w:hAnsi="Calibri"/>
          <w:sz w:val="21"/>
          <w:szCs w:val="21"/>
        </w:rPr>
        <w:t xml:space="preserve">Dear Hiring Manager,</w:t>
      </w:r>
    </w:p>
    <w:p>
      <w:pPr>
        <w:spacing w:after="200" w:line="276"/>
      </w:pPr>
      <w:r>
        <w:rPr>
          <w:rFonts w:ascii="Calibri" w:cs="Calibri" w:eastAsia="Calibri" w:hAnsi="Calibri"/>
          <w:sz w:val="21"/>
          <w:szCs w:val="21"/>
        </w:rPr>
        <w:t xml:space="preserve">Most implementation projects fail quietly, not through one big mistake but through small scope drift across four or five concurrent accounts that nobody catches until go-live is late. That is the problem I have spent 15 years solving, and it is why the multi-project side of this role appeals to me as much as the ERP and finance-systems side.</w:t>
      </w:r>
    </w:p>
    <w:p>
      <w:pPr>
        <w:spacing w:after="200" w:line="276"/>
      </w:pPr>
      <w:r>
        <w:rPr>
          <w:rFonts w:ascii="Calibri" w:cs="Calibri" w:eastAsia="Calibri" w:hAnsi="Calibri"/>
          <w:sz w:val="21"/>
          <w:szCs w:val="21"/>
        </w:rPr>
        <w:t xml:space="preserve">I currently manage a portfolio of concurrent enterprise SaaS implementations at Bellrock Technologies, running discovery workshops, owning structured project plans, and taking projects through configuration, UAT, go-live and hypercare for NHS Trusts, Local Authorities and Universities. Within that role I also work a dedicated integration work package linking our platform to customer ERP systems including Microsoft Dynamics, Oracle and SAP: I run the data mapping workshops with customer and ERP-side stakeholders, produce the Interface Control Document, and hand the build over for delivery via API or SFTP depending on the target landscape. I also configure finance-adjacent functionality such as invoicing, certificates, uplift business cases and reconciliation to match each customer's own approval rules.</w:t>
      </w:r>
    </w:p>
    <w:p>
      <w:pPr>
        <w:spacing w:after="200" w:line="276"/>
      </w:pPr>
      <w:r>
        <w:rPr>
          <w:rFonts w:ascii="Calibri" w:cs="Calibri" w:eastAsia="Calibri" w:hAnsi="Calibri"/>
          <w:sz w:val="21"/>
          <w:szCs w:val="21"/>
        </w:rPr>
        <w:t xml:space="preserve">Before Bellrock I worked directly with SAGE, Xero and SAP integrations at AEB International, and earlier still I built and ran an independent business where I implemented Xero for accounts and payroll, a dedicated workforce scheduling system, and a franchise-wide learning management platform, then chaired a national vendor liaison group for three years. That range across finance, workforce and ERP-adjacent systems is not something I picked up for one project. It is a pattern I keep repeating because I like the problem of making complex systems make sense to the people who have to use them daily.</w:t>
      </w:r>
    </w:p>
    <w:p>
      <w:pPr>
        <w:spacing w:after="200" w:line="276"/>
      </w:pPr>
      <w:r>
        <w:rPr>
          <w:rFonts w:ascii="Calibri" w:cs="Calibri" w:eastAsia="Calibri" w:hAnsi="Calibri"/>
          <w:sz w:val="21"/>
          <w:szCs w:val="21"/>
        </w:rPr>
        <w:t xml:space="preserve">Day to day I run status updates, risk reviews and escalations as standard practice, and I am comfortable being the point of contact when a stakeholder is technical one meeting and entirely non-technical the next. Jira and Confluence are part of my regular toolkit, alongside SQL and Power BI for the reporting side of delivery.</w:t>
      </w:r>
    </w:p>
    <w:p>
      <w:pPr>
        <w:spacing w:after="200" w:line="276"/>
      </w:pPr>
      <w:r>
        <w:rPr>
          <w:rFonts w:ascii="Calibri" w:cs="Calibri" w:eastAsia="Calibri" w:hAnsi="Calibri"/>
          <w:sz w:val="21"/>
          <w:szCs w:val="21"/>
        </w:rPr>
        <w:t xml:space="preserve">I would welcome the chance to talk through how this experience maps onto your current implementation portfolio.</w:t>
      </w:r>
    </w:p>
    <w:p>
      <w:pPr>
        <w:spacing w:after="300" w:line="276"/>
      </w:pPr>
      <w:r>
        <w:rPr>
          <w:rFonts w:ascii="Calibri" w:cs="Calibri" w:eastAsia="Calibri" w:hAnsi="Calibri"/>
          <w:sz w:val="21"/>
          <w:szCs w:val="21"/>
        </w:rPr>
        <w:t xml:space="preserve">Kind regards,</w:t>
      </w:r>
    </w:p>
    <w:p>
      <w:pPr>
        <w:spacing w:after="0" w:line="276"/>
      </w:pPr>
      <w:r>
        <w:rPr>
          <w:rFonts w:ascii="Calibri" w:cs="Calibri" w:eastAsia="Calibri" w:hAnsi="Calibri"/>
          <w:sz w:val="21"/>
          <w:szCs w:val="21"/>
        </w:rPr>
        <w:t xml:space="preserve">Warwick Allan</w:t>
      </w:r>
    </w:p>
    <w:sectPr>
      <w:pgSz w:w="11906" w:h="16838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2026-07-07T17:01:01.088Z</dcterms:created>
  <dcterms:modified xsi:type="dcterms:W3CDTF">2026-07-07T17:01:01.088Z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