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WP-005 — Estates Full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Status: derived work-package reference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Canonical source: Rocketlane Project Plan Template v2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Source tab: Rocketlane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Source Phase/Task ID: 5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Source row: 96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Dynamic trigger: TEC_PSE_CON_RE_PROS_CON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Default duration: 48 days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Default effort: 56.25 hours / 7.5 days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Estates Full covers full estates delivery including overview, data collation, data load, playback, reporting training, UAT, sign-off, go-live, hypercare and support handover.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 Core Task Flow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- 5.1 Work Package Management (Estates Full)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- 5.1.1 Estates Full WP Hardbooked and Budget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- 5.1.2 Estates Full Specification Agreed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- 5.1.3 Estates Full Chat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- 5.2.1 Estates Full Overview Session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- 5.3.1 Estates Full Test Data Collation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- 5.3.2 Estates Full Test Data Validation and Load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- 5.3.2.1 Transaction Party Data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- 5.3.2.2 Occupation Data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- 5.3.2.3 Rentable Units Data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- 5.3.2.4 Ownership Data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- 5.3.2.5 Disposals Data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- 5.3.2.6 Valuation Data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- 5.3.2.7 Rateable Values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- 5.3.3 Estates Full Test Data Playback Session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- 5.3.4 Estates Full Full Data Collation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- 5.3.5 Estates Full Final Data Validation and Load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- 5.3.5.1 Estates Full Data Load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- 5.3.6 Full Data Playback Session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- 5.4.1 Estates Training Session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- 5.4.2 Estates Reporting Training Session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- 5.5.1 Estates Full UAT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- 5.5.2 Estates Full Sign Off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- 5.5.3 Estates Full Go Live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- 5.5.4 Estates Full Hyper Care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- 5.5.5 Estates Full Hand Over to Support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 Register Guidance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Use Work Package ID `5` and Work Package Name `Estates Full` on all related plan, risk, issue, action and decision rows.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## Standard Risk Prompts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Customer estate data may be incomplete or inconsistent.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Reporting training may be missed if treated as optional.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Go-live readiness depends on full data acceptance and customer owner availability.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