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WP-006 — Case Management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Status: derived work-package reference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Canonical source: Rocketlane Project Plan Template v2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Source tab: Rocketlane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Source Phase/Task ID: 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Source row: 128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Dynamic trigger: TEC_BAS_CON_ACMBO_PROS_CON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Default duration: 8 days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Default effort: 15 hours / 2 days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Case Management is a compact configuration-led work package covering overview, configuration, UAT, sign-off, go-live, hypercare and support handover.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 Core Task Flow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- 6.1 Work Package Management (Case Management)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- 6.1.1 Case Management WP Hardbooked and Budget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- 6.1.2 Case Management Specification Agreed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- 6.1.3 Case Management Chat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- 6.2.1 Case Management Overview Session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- 6.3 Case Management Configuration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- 6.3.1 Case Management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- 6.3.2 Template Document Queries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- 6.3.3 Query Creation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- 6.4.1 Case Management UAT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- 6.4.2 Case Management Sign Off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- 6.4.3 Case Management Go Live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- 6.4.4 Case Management Hyper Care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- 6.4.5 Case Management Hand Over to Support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Register Guidance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Use Work Package ID `6` and Work Package Name `Case Management` on all generated plan and register rows.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Standard Risk Prompts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Configuration detail may not be agreed before build.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Template queries may require customer input.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UAT may be delayed if case examples are not available.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