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WP-008 — CAFM Reactive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178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TEC_BMA_CON_CAFMRE_PROS_CON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42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48.75 hours / 6.5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CAFM Reactive covers reactive helpdesk delivery including overview, data collation, data load, configuration, supplier portal elements, training, UAT, sign-off, go-live, hypercare and support handover.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- 8.1 Work Package Management (CAFM Reactive)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- 8.1.1 CAFM Reactive WP Hardbooked and Budget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- 8.1.2 CAFM Reactive Specification Agreed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- 8.1.3 CAFM Reactive 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- 8.2.1 CAFM Reactive Overview 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- 8.3.1 Collate Reactive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- 8.3.2 Data Validation and Load (Reactive)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- 8.3.2.1 Load Data (Reactive)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- 8.4 CAFM Reactive Configuration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- 8.4.1 Configure FixMy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- 8.4.2 Supplier Portal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- 8.4.2.2 AFP and Invoicing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- 8.4.3 Helpdesk Actions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- 8.4.4 Testing and Playback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- 8.4.5 Reactive Helpdesk Playback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- 8.4.6 Order Template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- 8.4.7 Projects Setup Lite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- 8.5.1 Supplier Portal Training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- 8.5.2 Reactive Helpdesk Training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- 8.6.1 CAFM Reactive UAT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- 8.6.2 CAFM Reactive Sign Off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- 8.6.3 CAFM Reactive Go Live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- 8.6.4 CAFM Reactive Hyper Care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- 8.6.5 CAFM Reactive Hand Over to Support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 Work Package ID `8` and Work Package Name `CAFM Reactive` on all generated plan and register rows.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Reactive process scope may expand during configuration.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Supplier portal decisions may affect training and go-live readiness.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Order template requirements may require extra customer review.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