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WP-013 — Projects &amp; Programmes Full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Status: derived work-package reference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Canonical source: Rocketlane Project Plan Template v2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Source tab: Rocketlane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Source Phase/Task ID: 13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Dynamic trigger: TEC_BAS_CON_PRPR_PROS_CON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Default duration: 39 days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Default effort: 90 hours / 12 days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Projects &amp; Programmes Full covers project templates, settings, budgets, project data, training, UAT, sign-off, go-live, hypercare and support handover.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 Core Task Flow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- 13.2.1 Projects Overview Session 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- 13.2.2 Projects Overview Session 2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- 13.3.1 Projects Setup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- 13.3.2 Projects Templates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- 13.3.3 Projects Settings and Config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- 13.3.4 Projects Config Playback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- 13.4.1 Client Collate Budget Data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- 13.4.2 Load Budget Data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- 13.4.3 Client Collate Project Data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- 13.4.4 Load Project Data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- 13.5.1 Training Session 1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- 13.5.2 Training Session 2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- 13.6.1 P&amp;P Full UAT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- 13.6.2 P&amp;P Full Sign Off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- 13.6.3 P&amp;P Full Go Live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- 13.6.4 P&amp;P Full Hyper Care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- 13.6.5 P&amp;P Full Hand Over to Support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 Register Guidance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Use Work Package ID `13` and Work Package Name `Projects &amp; Programmes Full` on all generated plan and register rows.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 Standard Risk Prompts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Budget data and project data may require separate acceptance cycles.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Template configuration may require multiple customer review loops.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Training may need to cover both project setup and budget usage.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