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WP-027 — Wiggle Desk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Status: derived work-package reference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Canonical source: Rocketlane Project Plan Template v2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Source tab: Rocketlane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Source Phase/Task ID: 27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Dynamic trigger: TEC_PSE_WIG_WIGD_PROS_SUP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Default duration: 27 days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Default effort: 26.25 hours / 3.5 days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Wiggle Desk covers Wiggle Desk overview, data collation, data validation/load, configuration, training, UAT, sign-off, go-live, hypercare and support handover.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 Core Task Flow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Use the `task_flow_index` tab in the Concerto Work Package Machine Index filtered to `wp_id = 27` as the authoritative task list.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Key delivery themes: overview, data, configuration, training, UAT, sign-off and support handover.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 Register Guidance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Use Work Package ID `27` and Work Package Name `Wiggle Desk` on all generated rows.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Standard Risk Prompts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Support and service expectations should be confirmed before handover.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Customer owner availability may affect UAT and sign-off.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Any Wiggle-specific support boundaries should be recorded in the project register.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