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Rossmann Project Report</w:t>
      </w:r>
    </w:p>
    <w:p>
      <w:pPr>
        <w:jc w:val="center"/>
      </w:pPr>
      <w:r>
        <w:rPr>
          <w:i/>
        </w:rPr>
        <w:t>Architecture, Deployment Gaps, Reliability, Performance, and Reflection</w:t>
      </w:r>
    </w:p>
    <w:p>
      <w:r>
        <w:t>Date: 2026-03-29</w:t>
      </w:r>
    </w:p>
    <w:p>
      <w:pPr>
        <w:pStyle w:val="Heading1"/>
      </w:pPr>
      <w:r>
        <w:t>1. Architecture and API Design</w:t>
      </w:r>
    </w:p>
    <w:p>
      <w:r>
        <w:t>The service architecture is modular, with clear boundaries between transport, contracts, model loading, metric computation, and history persistence. This separation reduces coupling and makes iterative changes safer.</w:t>
      </w:r>
    </w:p>
    <w:p>
      <w:pPr>
        <w:pStyle w:val="ListBullet"/>
      </w:pPr>
      <w:r>
        <w:t>API transport and orchestration: src/api_app.py</w:t>
      </w:r>
    </w:p>
    <w:p>
      <w:pPr>
        <w:pStyle w:val="ListBullet"/>
      </w:pPr>
      <w:r>
        <w:t>Data contracts: src/api_schemas.py</w:t>
      </w:r>
    </w:p>
    <w:p>
      <w:pPr>
        <w:pStyle w:val="ListBullet"/>
      </w:pPr>
      <w:r>
        <w:t>Startup model loading and artifact resolution: src/api_model_loader.py</w:t>
      </w:r>
    </w:p>
    <w:p>
      <w:pPr>
        <w:pStyle w:val="ListBullet"/>
      </w:pPr>
      <w:r>
        <w:t>Evaluation and comparison engine: src/api_metrics_service.py</w:t>
      </w:r>
    </w:p>
    <w:p>
      <w:pPr>
        <w:pStyle w:val="ListBullet"/>
      </w:pPr>
      <w:r>
        <w:t>Metrics run history persistence: src/api_history.py</w:t>
      </w:r>
    </w:p>
    <w:p>
      <w:r>
        <w:rPr>
          <w:b/>
        </w:rPr>
        <w:t>Service boundary justification</w:t>
      </w:r>
    </w:p>
    <w:p>
      <w:pPr>
        <w:pStyle w:val="ListNumber"/>
      </w:pPr>
      <w:r>
        <w:t>Change isolation: schema evolution does not force endpoint-handler rewrites.</w:t>
      </w:r>
    </w:p>
    <w:p>
      <w:pPr>
        <w:pStyle w:val="ListNumber"/>
      </w:pPr>
      <w:r>
        <w:t>Startup efficiency: model is loaded once during lifespan startup.</w:t>
      </w:r>
    </w:p>
    <w:p>
      <w:pPr>
        <w:pStyle w:val="ListNumber"/>
      </w:pPr>
      <w:r>
        <w:t>Reuse: single-file and multi-file flows share the same metric engine.</w:t>
      </w:r>
    </w:p>
    <w:p>
      <w:pPr>
        <w:pStyle w:val="ListNumber"/>
      </w:pPr>
      <w:r>
        <w:t>Traceability: run-level history is persisted for audits and demonstrations.</w:t>
      </w:r>
    </w:p>
    <w:p>
      <w:r>
        <w:rPr>
          <w:b/>
        </w:rPr>
        <w:t>Endpoint design</w:t>
      </w:r>
    </w:p>
    <w:p>
      <w:pPr>
        <w:pStyle w:val="ListBullet"/>
      </w:pPr>
      <w:r>
        <w:t>GET /health: liveness/readiness check for service and model state.</w:t>
      </w:r>
    </w:p>
    <w:p>
      <w:pPr>
        <w:pStyle w:val="ListBullet"/>
      </w:pPr>
      <w:r>
        <w:t>GET /model-info: operational metadata and feature contract exposure.</w:t>
      </w:r>
    </w:p>
    <w:p>
      <w:pPr>
        <w:pStyle w:val="ListBullet"/>
      </w:pPr>
      <w:r>
        <w:t>POST /predict-health: validated single-record inference for low-latency usage.</w:t>
      </w:r>
    </w:p>
    <w:p>
      <w:pPr>
        <w:pStyle w:val="ListBullet"/>
      </w:pPr>
      <w:r>
        <w:t>POST /evaluate-file: all-metric scoring for one CSV file.</w:t>
      </w:r>
    </w:p>
    <w:p>
      <w:pPr>
        <w:pStyle w:val="ListBullet"/>
      </w:pPr>
      <w:r>
        <w:t>POST /compare-input-files: ranking across multiple files by each metric.</w:t>
      </w:r>
    </w:p>
    <w:p>
      <w:pPr>
        <w:pStyle w:val="ListBullet"/>
      </w:pPr>
      <w:r>
        <w:t>GET /metrics-history: recent persisted evaluation/comparison run log.</w:t>
      </w:r>
    </w:p>
    <w:p>
      <w:r>
        <w:rPr>
          <w:b/>
        </w:rPr>
        <w:t>Data contract notes</w:t>
      </w:r>
    </w:p>
    <w:p>
      <w:pPr>
        <w:pStyle w:val="ListBullet"/>
      </w:pPr>
      <w:r>
        <w:t>Strict numeric constraints and extra-field rejection in request schemas.</w:t>
      </w:r>
    </w:p>
    <w:p>
      <w:pPr>
        <w:pStyle w:val="ListBullet"/>
      </w:pPr>
      <w:r>
        <w:t>Typed response models enforce stable payload structure.</w:t>
      </w:r>
    </w:p>
    <w:p>
      <w:pPr>
        <w:pStyle w:val="ListBullet"/>
      </w:pPr>
      <w:r>
        <w:t>Known contract gap: include_predictions is accepted but not used in evaluate-file response logic.</w:t>
      </w:r>
    </w:p>
    <w:p>
      <w:pPr>
        <w:pStyle w:val="Heading1"/>
      </w:pPr>
      <w:r>
        <w:t>2. Notebook-to-Service Gap</w:t>
      </w:r>
    </w:p>
    <w:p>
      <w:r>
        <w:t>The project demonstrates a common migration gap: exploratory notebooks evolved faster than service contracts.</w:t>
      </w:r>
    </w:p>
    <w:p>
      <w:pPr>
        <w:pStyle w:val="ListBullet"/>
      </w:pPr>
      <w:r>
        <w:t>What worked offline</w:t>
      </w:r>
    </w:p>
    <w:p>
      <w:pPr>
        <w:pStyle w:val="ListBullet2"/>
      </w:pPr>
      <w:r>
        <w:t>EDA and residual analysis workflows were effective for understanding behavior and failure modes.</w:t>
      </w:r>
    </w:p>
    <w:p>
      <w:pPr>
        <w:pStyle w:val="ListBullet2"/>
      </w:pPr>
      <w:r>
        <w:t>Interactive development tolerated ad-hoc imports and implicit ordering of steps.</w:t>
      </w:r>
    </w:p>
    <w:p>
      <w:pPr>
        <w:pStyle w:val="ListBullet"/>
      </w:pPr>
      <w:r>
        <w:t>What failed or drifted in deployment</w:t>
      </w:r>
    </w:p>
    <w:p>
      <w:pPr>
        <w:pStyle w:val="ListBullet2"/>
      </w:pPr>
      <w:r>
        <w:t>Legacy preprocessing function names remain in notebook/legacy callers while production API uses split_raw_data/process_data/extract_X_y.</w:t>
      </w:r>
    </w:p>
    <w:p>
      <w:pPr>
        <w:pStyle w:val="ListBullet2"/>
      </w:pPr>
      <w:r>
        <w:t>Some tests and utilities remain API-misaligned with the active preprocessing module.</w:t>
      </w:r>
    </w:p>
    <w:p>
      <w:pPr>
        <w:pStyle w:val="ListBullet2"/>
      </w:pPr>
      <w:r>
        <w:t>Notebook assumptions around local state and execution order do not map directly to strict request/response service behavior.</w:t>
      </w:r>
    </w:p>
    <w:p>
      <w:pPr>
        <w:pStyle w:val="Heading1"/>
      </w:pPr>
      <w:r>
        <w:t>3. Robustness and Reliability Analysis</w:t>
      </w:r>
    </w:p>
    <w:p>
      <w:r>
        <w:rPr>
          <w:b/>
        </w:rPr>
        <w:t>Strengths</w:t>
      </w:r>
    </w:p>
    <w:p>
      <w:pPr>
        <w:pStyle w:val="ListBullet"/>
      </w:pPr>
      <w:r>
        <w:t>Schema-level validation guards malformed payloads early.</w:t>
      </w:r>
    </w:p>
    <w:p>
      <w:pPr>
        <w:pStyle w:val="ListBullet"/>
      </w:pPr>
      <w:r>
        <w:t>Exception handlers return consistent error envelopes.</w:t>
      </w:r>
    </w:p>
    <w:p>
      <w:pPr>
        <w:pStyle w:val="ListBullet"/>
      </w:pPr>
      <w:r>
        <w:t>File evaluation checks include: missing file, missing target, missing features, and empty post-preprocessing data.</w:t>
      </w:r>
    </w:p>
    <w:p>
      <w:pPr>
        <w:pStyle w:val="ListBullet"/>
      </w:pPr>
      <w:r>
        <w:t>Endpoint tests cover core success and validation-failure paths.</w:t>
      </w:r>
    </w:p>
    <w:p>
      <w:r>
        <w:rPr>
          <w:b/>
        </w:rPr>
        <w:t>Weaknesses and risks</w:t>
      </w:r>
    </w:p>
    <w:p>
      <w:pPr>
        <w:pStyle w:val="ListBullet"/>
      </w:pPr>
      <w:r>
        <w:t>File-path-driven inputs can broaden filesystem exposure without strict sandboxing.</w:t>
      </w:r>
    </w:p>
    <w:p>
      <w:pPr>
        <w:pStyle w:val="ListBullet"/>
      </w:pPr>
      <w:r>
        <w:t>Detailed exception strings can leak internals.</w:t>
      </w:r>
    </w:p>
    <w:p>
      <w:pPr>
        <w:pStyle w:val="ListBullet"/>
      </w:pPr>
      <w:r>
        <w:t>No explicit file-size limits or streaming protections on CSV-heavy endpoints.</w:t>
      </w:r>
    </w:p>
    <w:p>
      <w:pPr>
        <w:pStyle w:val="ListBullet"/>
      </w:pPr>
      <w:r>
        <w:t>Multi-file comparison is all-or-nothing; one failing file aborts the full request.</w:t>
      </w:r>
    </w:p>
    <w:p>
      <w:pPr>
        <w:pStyle w:val="Heading1"/>
      </w:pPr>
      <w:r>
        <w:t>4. Performance Analysis</w:t>
      </w:r>
    </w:p>
    <w:p>
      <w:r>
        <w:t>Stress tooling exists and reports throughput/latency percentiles, but runtime telemetry is still external to the API process.</w:t>
      </w:r>
    </w:p>
    <w:p>
      <w:pPr>
        <w:pStyle w:val="ListBullet"/>
      </w:pPr>
      <w:r>
        <w:t>Available measurements: total requests, success/failure, RPS, average latency, p50/p95/p99.</w:t>
      </w:r>
    </w:p>
    <w:p>
      <w:pPr>
        <w:pStyle w:val="ListBullet"/>
      </w:pPr>
      <w:r>
        <w:t>Likely bottleneck 1: per-request DataFrame construction and feature reindexing in prediction.</w:t>
      </w:r>
    </w:p>
    <w:p>
      <w:pPr>
        <w:pStyle w:val="ListBullet"/>
      </w:pPr>
      <w:r>
        <w:t>Likely bottleneck 2: repeated CSV read, merge, preprocess, and predict cycles in evaluation endpoints.</w:t>
      </w:r>
    </w:p>
    <w:p>
      <w:pPr>
        <w:pStyle w:val="ListBullet"/>
      </w:pPr>
      <w:r>
        <w:t>Likely bottleneck 3: sequential processing in compare-input-files increases tail latency with more files.</w:t>
      </w:r>
    </w:p>
    <w:p>
      <w:pPr>
        <w:pStyle w:val="ListBullet"/>
      </w:pPr>
      <w:r>
        <w:t>Likely bottleneck 4: synchronous history writes add IO on request path.</w:t>
      </w:r>
    </w:p>
    <w:p>
      <w:pPr>
        <w:pStyle w:val="ListBullet"/>
      </w:pPr>
      <w:r>
        <w:t>Observed limitation: no built-in endpoint-level tracing/profiling middleware for production diagnostics.</w:t>
      </w:r>
    </w:p>
    <w:p>
      <w:pPr>
        <w:pStyle w:val="Heading1"/>
      </w:pPr>
      <w:r>
        <w:t>5. Reflection: Architectural Decision with Long-Term Consequences</w:t>
      </w:r>
    </w:p>
    <w:p>
      <w:r>
        <w:t>Decision: adopting file-path-driven evaluation endpoints instead of upload-first or queue/event-driven ingestion.</w:t>
      </w:r>
    </w:p>
    <w:p>
      <w:pPr>
        <w:pStyle w:val="ListBullet"/>
      </w:pPr>
      <w:r>
        <w:t>Positive consequence: easy local reproducibility and fast demo workflows.</w:t>
      </w:r>
    </w:p>
    <w:p>
      <w:pPr>
        <w:pStyle w:val="ListBullet"/>
      </w:pPr>
      <w:r>
        <w:t>Negative consequence: tighter coupling to server filesystem and weaker cloud portability.</w:t>
      </w:r>
    </w:p>
    <w:p>
      <w:pPr>
        <w:pStyle w:val="ListBullet"/>
      </w:pPr>
      <w:r>
        <w:t>Security implication: path handling demands hard sandboxing in external deployments.</w:t>
      </w:r>
    </w:p>
    <w:p>
      <w:pPr>
        <w:pStyle w:val="ListBullet"/>
      </w:pPr>
      <w:r>
        <w:t>Scalability implication: repeated disk IO and preprocessing can dominate latency under load.</w:t>
      </w:r>
    </w:p>
    <w:p>
      <w:pPr>
        <w:pStyle w:val="Heading1"/>
      </w:pPr>
      <w:r>
        <w:t>Rubric-Based Evaluation</w:t>
      </w:r>
    </w:p>
    <w:p>
      <w:r>
        <w:t>Scoring scale: 1 (weak) to 5 (strong)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  <w:tc>
          <w:tcPr>
            <w:tcW w:type="dxa" w:w="2160"/>
          </w:tcPr>
          <w:p>
            <w:r>
              <w:t>Key Evidence</w:t>
            </w:r>
          </w:p>
        </w:tc>
      </w:tr>
      <w:tr>
        <w:tc>
          <w:tcPr>
            <w:tcW w:type="dxa" w:w="2160"/>
          </w:tcPr>
          <w:p>
            <w:r>
              <w:t>Service boundary clarity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Good modular separation of responsibilities.</w:t>
            </w:r>
          </w:p>
        </w:tc>
        <w:tc>
          <w:tcPr>
            <w:tcW w:type="dxa" w:w="2160"/>
          </w:tcPr>
          <w:p>
            <w:r>
              <w:t>api_app.py, api_schemas.py, api_metrics_service.py</w:t>
            </w:r>
          </w:p>
        </w:tc>
      </w:tr>
      <w:tr>
        <w:tc>
          <w:tcPr>
            <w:tcW w:type="dxa" w:w="2160"/>
          </w:tcPr>
          <w:p>
            <w:r>
              <w:t>Endpoint design fitness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Endpoints cover health, inference, evaluation, comparison, and history.</w:t>
            </w:r>
          </w:p>
        </w:tc>
        <w:tc>
          <w:tcPr>
            <w:tcW w:type="dxa" w:w="2160"/>
          </w:tcPr>
          <w:p>
            <w:r>
              <w:t>api_app.py</w:t>
            </w:r>
          </w:p>
        </w:tc>
      </w:tr>
      <w:tr>
        <w:tc>
          <w:tcPr>
            <w:tcW w:type="dxa" w:w="2160"/>
          </w:tcPr>
          <w:p>
            <w:r>
              <w:t>Data contract rigor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Strong schema constraints with one known drift (include_predictions).</w:t>
            </w:r>
          </w:p>
        </w:tc>
        <w:tc>
          <w:tcPr>
            <w:tcW w:type="dxa" w:w="2160"/>
          </w:tcPr>
          <w:p>
            <w:r>
              <w:t>api_schemas.py, api_app.py</w:t>
            </w:r>
          </w:p>
        </w:tc>
      </w:tr>
      <w:tr>
        <w:tc>
          <w:tcPr>
            <w:tcW w:type="dxa" w:w="2160"/>
          </w:tcPr>
          <w:p>
            <w:r>
              <w:t>Notebook-service alignment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Documented API mismatch in legacy notebook/test callers.</w:t>
            </w:r>
          </w:p>
        </w:tc>
        <w:tc>
          <w:tcPr>
            <w:tcW w:type="dxa" w:w="2160"/>
          </w:tcPr>
          <w:p>
            <w:r>
              <w:t>docs/05_notebooks_reference.md, docs/07_known_issues_and_change_guidelines.md</w:t>
            </w:r>
          </w:p>
        </w:tc>
      </w:tr>
      <w:tr>
        <w:tc>
          <w:tcPr>
            <w:tcW w:type="dxa" w:w="2160"/>
          </w:tcPr>
          <w:p>
            <w:r>
              <w:t>Robustness for malformed input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Good validation baseline; path and large-input hardening needed.</w:t>
            </w:r>
          </w:p>
        </w:tc>
        <w:tc>
          <w:tcPr>
            <w:tcW w:type="dxa" w:w="2160"/>
          </w:tcPr>
          <w:p>
            <w:r>
              <w:t>api_schemas.py, api_metrics_service.py</w:t>
            </w:r>
          </w:p>
        </w:tc>
      </w:tr>
      <w:tr>
        <w:tc>
          <w:tcPr>
            <w:tcW w:type="dxa" w:w="2160"/>
          </w:tcPr>
          <w:p>
            <w:r>
              <w:t>Reliability test depth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Core endpoint tests exist; deeper edge-case regression coverage is limited.</w:t>
            </w:r>
          </w:p>
        </w:tc>
        <w:tc>
          <w:tcPr>
            <w:tcW w:type="dxa" w:w="2160"/>
          </w:tcPr>
          <w:p>
            <w:r>
              <w:t>tests/test_api_endpoints.py</w:t>
            </w:r>
          </w:p>
        </w:tc>
      </w:tr>
      <w:tr>
        <w:tc>
          <w:tcPr>
            <w:tcW w:type="dxa" w:w="2160"/>
          </w:tcPr>
          <w:p>
            <w:r>
              <w:t>Performance observability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Stress script exists; no internal tracing instrumentation yet.</w:t>
            </w:r>
          </w:p>
        </w:tc>
        <w:tc>
          <w:tcPr>
            <w:tcW w:type="dxa" w:w="2160"/>
          </w:tcPr>
          <w:p>
            <w:r>
              <w:t>scripts/stress_test_api.py, docs/api_stress_testing.md</w:t>
            </w:r>
          </w:p>
        </w:tc>
      </w:tr>
      <w:tr>
        <w:tc>
          <w:tcPr>
            <w:tcW w:type="dxa" w:w="2160"/>
          </w:tcPr>
          <w:p>
            <w:r>
              <w:t>External deployment readiness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Needs hardening for path safety, limits, and ops telemetry.</w:t>
            </w:r>
          </w:p>
        </w:tc>
        <w:tc>
          <w:tcPr>
            <w:tcW w:type="dxa" w:w="2160"/>
          </w:tcPr>
          <w:p>
            <w:r>
              <w:t>api_app.py, api_metrics_service.py</w:t>
            </w:r>
          </w:p>
        </w:tc>
      </w:tr>
    </w:tbl>
    <w:p>
      <w:pPr>
        <w:pStyle w:val="Heading1"/>
      </w:pPr>
      <w:r>
        <w:t>Executive Summary</w:t>
      </w:r>
    </w:p>
    <w:p>
      <w:r>
        <w:t>Overall maturity is strong for a demo-oriented system and moderate for production-grade deployment. The most impactful next step is to resolve notebook-service API drift and harden file-based evaluation endpoints with stricter path controls, input limits, and deeper operational telemetry.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