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Customer Personality Analysis</w:t>
      </w:r>
    </w:p>
    <w:p>
      <w:pPr>
        <w:spacing w:after="300"/>
      </w:pPr>
      <w:r>
        <w:rPr>
          <w:b/>
          <w:bCs/>
          <w:color w:val="2E5C8A"/>
          <w:sz w:val="28"/>
          <w:szCs w:val="28"/>
        </w:rPr>
        <w:t xml:space="preserve">Cluster Evaluation &amp; Customer Profiling — Final Report</w:t>
      </w:r>
    </w:p>
    <w:p>
      <w:pPr>
        <w:spacing w:after="120"/>
      </w:pPr>
      <w:r>
        <w:rPr>
          <w:i/>
          <w:iCs/>
          <w:sz w:val="20"/>
          <w:szCs w:val="20"/>
        </w:rPr>
        <w:t xml:space="preserve">Dataset: marketing_campaign.csv (synthetic, modeled on the Kaggle "Customer Personality Analysis" schema) — 598 customers after cleaning.</w:t>
      </w:r>
    </w:p>
    <w:p>
      <w:pPr>
        <w:spacing w:after="120"/>
      </w:pPr>
      <w:r>
        <w:rPr>
          <w:i/>
          <w:iCs/>
          <w:sz w:val="20"/>
          <w:szCs w:val="20"/>
        </w:rPr>
        <w:t xml:space="preserve">Method: K-Means clustering (k = 4) on standardized income, spending, recency, and channel-usage features. Silhouette score = 0.286 — reasonable, well-separated segment structure (confirmed visually via PCA, see Section 7).</w:t>
      </w:r>
    </w:p>
    <w:p>
      <w:r>
        <w:br w:type="page"/>
      </w:r>
    </w:p>
    <w:p>
      <w:pPr>
        <w:pStyle w:val="Heading1"/>
        <w:spacing w:after="120" w:before="200"/>
      </w:pPr>
      <w:r>
        <w:t xml:space="preserve">Executive Summary</w:t>
      </w:r>
    </w:p>
    <w:p>
      <w:pPr>
        <w:spacing w:after="120"/>
      </w:pPr>
      <w:r>
        <w:t xml:space="preserve">The customer base splits into four clearly distinct segments. Premium Loyal Customers (21.6% of customers) drive disproportionate value — average spending of $1390 versus an overall average of $552, and the highest campaign response rate at 40.3%. At the other end, Low-Value Inactive Customers (27.1%) spend the least, engage the least, and respond the least to marketing. The remaining two segments — Digital-First Deal Seekers and Store-Oriented Traditional Customers — represent different paths to growth: one young and digital, one older and store-loyal.</w:t>
      </w:r>
    </w:p>
    <w:p>
      <w:pPr>
        <w:spacing w:after="120"/>
      </w:pPr>
      <w:r>
        <w:t xml:space="preserve">The sections below walk through the demographic, spending, channel, and campaign evidence behind each segment, followed by business-ready names, personas, and marketing recommendations.</w:t>
      </w:r>
    </w:p>
    <w:p>
      <w:pPr>
        <w:pStyle w:val="Heading1"/>
        <w:spacing w:after="120" w:before="200"/>
      </w:pPr>
      <w:r>
        <w:t xml:space="preserve">1. Cluster Statistics &amp; Demographic Analysis</w:t>
      </w:r>
    </w:p>
    <w:p>
      <w:pPr>
        <w:spacing w:after="120"/>
      </w:pPr>
      <w:r>
        <w:t xml:space="preserve">598 customers were grouped into 4 clusters. Segment sizes are reasonably balanced, ranging from 129 to 162 customers.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cantSplit/>
          <w:tblHeader/>
        </w:trPr>
        <w:tc>
          <w:tcPr>
            <w:tcW w:type="dxa" w:w="1700"/>
            <w:shd w:fill="2E5C8A"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500"/>
            <w:shd w:fill="2E5C8A" w:val="clear"/>
            <w:tcMar>
              <w:top w:type="dxa" w:w="60"/>
              <w:left w:type="dxa" w:w="100"/>
              <w:bottom w:type="dxa" w:w="60"/>
              <w:right w:type="dxa" w:w="100"/>
            </w:tcMar>
            <w:vAlign w:val="center"/>
          </w:tcPr>
          <w:p>
            <w:pPr>
              <w:jc w:val="left"/>
            </w:pPr>
            <w:r>
              <w:rPr>
                <w:b/>
                <w:bCs/>
                <w:color w:val="FFFFFF"/>
                <w:sz w:val="19"/>
                <w:szCs w:val="19"/>
              </w:rPr>
              <w:t xml:space="preserve">N</w:t>
            </w:r>
          </w:p>
        </w:tc>
        <w:tc>
          <w:tcPr>
            <w:tcW w:type="dxa" w:w="700"/>
            <w:shd w:fill="2E5C8A" w:val="clear"/>
            <w:tcMar>
              <w:top w:type="dxa" w:w="60"/>
              <w:left w:type="dxa" w:w="100"/>
              <w:bottom w:type="dxa" w:w="60"/>
              <w:right w:type="dxa" w:w="100"/>
            </w:tcMar>
            <w:vAlign w:val="center"/>
          </w:tcPr>
          <w:p>
            <w:pPr>
              <w:jc w:val="left"/>
            </w:pPr>
            <w:r>
              <w:rPr>
                <w:b/>
                <w:bCs/>
                <w:color w:val="FFFFFF"/>
                <w:sz w:val="19"/>
                <w:szCs w:val="19"/>
              </w:rPr>
              <w:t xml:space="preserve">% of Total</w:t>
            </w:r>
          </w:p>
        </w:tc>
        <w:tc>
          <w:tcPr>
            <w:tcW w:type="dxa" w:w="700"/>
            <w:shd w:fill="2E5C8A" w:val="clear"/>
            <w:tcMar>
              <w:top w:type="dxa" w:w="60"/>
              <w:left w:type="dxa" w:w="100"/>
              <w:bottom w:type="dxa" w:w="60"/>
              <w:right w:type="dxa" w:w="100"/>
            </w:tcMar>
            <w:vAlign w:val="center"/>
          </w:tcPr>
          <w:p>
            <w:pPr>
              <w:jc w:val="left"/>
            </w:pPr>
            <w:r>
              <w:rPr>
                <w:b/>
                <w:bCs/>
                <w:color w:val="FFFFFF"/>
                <w:sz w:val="19"/>
                <w:szCs w:val="19"/>
              </w:rPr>
              <w:t xml:space="preserve">Avg Age</w:t>
            </w:r>
          </w:p>
        </w:tc>
        <w:tc>
          <w:tcPr>
            <w:tcW w:type="dxa" w:w="900"/>
            <w:shd w:fill="2E5C8A" w:val="clear"/>
            <w:tcMar>
              <w:top w:type="dxa" w:w="60"/>
              <w:left w:type="dxa" w:w="100"/>
              <w:bottom w:type="dxa" w:w="60"/>
              <w:right w:type="dxa" w:w="100"/>
            </w:tcMar>
            <w:vAlign w:val="center"/>
          </w:tcPr>
          <w:p>
            <w:pPr>
              <w:jc w:val="left"/>
            </w:pPr>
            <w:r>
              <w:rPr>
                <w:b/>
                <w:bCs/>
                <w:color w:val="FFFFFF"/>
                <w:sz w:val="19"/>
                <w:szCs w:val="19"/>
              </w:rPr>
              <w:t xml:space="preserve">Avg Income</w:t>
            </w:r>
          </w:p>
        </w:tc>
        <w:tc>
          <w:tcPr>
            <w:tcW w:type="dxa" w:w="800"/>
            <w:shd w:fill="2E5C8A" w:val="clear"/>
            <w:tcMar>
              <w:top w:type="dxa" w:w="60"/>
              <w:left w:type="dxa" w:w="100"/>
              <w:bottom w:type="dxa" w:w="60"/>
              <w:right w:type="dxa" w:w="100"/>
            </w:tcMar>
            <w:vAlign w:val="center"/>
          </w:tcPr>
          <w:p>
            <w:pPr>
              <w:jc w:val="left"/>
            </w:pPr>
            <w:r>
              <w:rPr>
                <w:b/>
                <w:bCs/>
                <w:color w:val="FFFFFF"/>
                <w:sz w:val="19"/>
                <w:szCs w:val="19"/>
              </w:rPr>
              <w:t xml:space="preserve">Avg Family Size</w:t>
            </w:r>
          </w:p>
        </w:tc>
        <w:tc>
          <w:tcPr>
            <w:tcW w:type="dxa" w:w="800"/>
            <w:shd w:fill="2E5C8A" w:val="clear"/>
            <w:tcMar>
              <w:top w:type="dxa" w:w="60"/>
              <w:left w:type="dxa" w:w="100"/>
              <w:bottom w:type="dxa" w:w="60"/>
              <w:right w:type="dxa" w:w="100"/>
            </w:tcMar>
            <w:vAlign w:val="center"/>
          </w:tcPr>
          <w:p>
            <w:pPr>
              <w:jc w:val="left"/>
            </w:pPr>
            <w:r>
              <w:rPr>
                <w:b/>
                <w:bCs/>
                <w:color w:val="FFFFFF"/>
                <w:sz w:val="19"/>
                <w:szCs w:val="19"/>
              </w:rPr>
              <w:t xml:space="preserve">Avg Children</w:t>
            </w:r>
          </w:p>
        </w:tc>
        <w:tc>
          <w:tcPr>
            <w:tcW w:type="dxa" w:w="1000"/>
            <w:shd w:fill="2E5C8A" w:val="clear"/>
            <w:tcMar>
              <w:top w:type="dxa" w:w="60"/>
              <w:left w:type="dxa" w:w="100"/>
              <w:bottom w:type="dxa" w:w="60"/>
              <w:right w:type="dxa" w:w="100"/>
            </w:tcMar>
            <w:vAlign w:val="center"/>
          </w:tcPr>
          <w:p>
            <w:pPr>
              <w:jc w:val="left"/>
            </w:pPr>
            <w:r>
              <w:rPr>
                <w:b/>
                <w:bCs/>
                <w:color w:val="FFFFFF"/>
                <w:sz w:val="19"/>
                <w:szCs w:val="19"/>
              </w:rPr>
              <w:t xml:space="preserve">Top Education</w:t>
            </w:r>
          </w:p>
        </w:tc>
        <w:tc>
          <w:tcPr>
            <w:tcW w:type="dxa" w:w="1000"/>
            <w:shd w:fill="2E5C8A" w:val="clear"/>
            <w:tcMar>
              <w:top w:type="dxa" w:w="60"/>
              <w:left w:type="dxa" w:w="100"/>
              <w:bottom w:type="dxa" w:w="60"/>
              <w:right w:type="dxa" w:w="100"/>
            </w:tcMar>
            <w:vAlign w:val="center"/>
          </w:tcPr>
          <w:p>
            <w:pPr>
              <w:jc w:val="left"/>
            </w:pPr>
            <w:r>
              <w:rPr>
                <w:b/>
                <w:bCs/>
                <w:color w:val="FFFFFF"/>
                <w:sz w:val="19"/>
                <w:szCs w:val="19"/>
              </w:rPr>
              <w:t xml:space="preserve">Top Marital Status</w:t>
            </w:r>
          </w:p>
        </w:tc>
      </w:tr>
      <w:tr>
        <w:trPr>
          <w:cantSplit/>
        </w:trPr>
        <w:tc>
          <w:tcPr>
            <w:tcW w:type="dxa" w:w="1700"/>
            <w:tcMar>
              <w:top w:type="dxa" w:w="60"/>
              <w:left w:type="dxa" w:w="100"/>
              <w:bottom w:type="dxa" w:w="60"/>
              <w:right w:type="dxa" w:w="100"/>
            </w:tcMar>
            <w:vAlign w:val="center"/>
          </w:tcPr>
          <w:p>
            <w:pPr>
              <w:jc w:val="left"/>
            </w:pPr>
            <w:r>
              <w:rPr>
                <w:b w:val="false"/>
                <w:bCs w:val="false"/>
                <w:sz w:val="19"/>
                <w:szCs w:val="19"/>
              </w:rPr>
              <w:t xml:space="preserve">Premium Loyal</w:t>
            </w:r>
          </w:p>
        </w:tc>
        <w:tc>
          <w:tcPr>
            <w:tcW w:type="dxa" w:w="500"/>
            <w:tcMar>
              <w:top w:type="dxa" w:w="60"/>
              <w:left w:type="dxa" w:w="100"/>
              <w:bottom w:type="dxa" w:w="60"/>
              <w:right w:type="dxa" w:w="100"/>
            </w:tcMar>
            <w:vAlign w:val="center"/>
          </w:tcPr>
          <w:p>
            <w:pPr>
              <w:jc w:val="left"/>
            </w:pPr>
            <w:r>
              <w:rPr>
                <w:b w:val="false"/>
                <w:bCs w:val="false"/>
                <w:sz w:val="19"/>
                <w:szCs w:val="19"/>
              </w:rPr>
              <w:t xml:space="preserve">129</w:t>
            </w:r>
          </w:p>
        </w:tc>
        <w:tc>
          <w:tcPr>
            <w:tcW w:type="dxa" w:w="700"/>
            <w:tcMar>
              <w:top w:type="dxa" w:w="60"/>
              <w:left w:type="dxa" w:w="100"/>
              <w:bottom w:type="dxa" w:w="60"/>
              <w:right w:type="dxa" w:w="100"/>
            </w:tcMar>
            <w:vAlign w:val="center"/>
          </w:tcPr>
          <w:p>
            <w:pPr>
              <w:jc w:val="left"/>
            </w:pPr>
            <w:r>
              <w:rPr>
                <w:b w:val="false"/>
                <w:bCs w:val="false"/>
                <w:sz w:val="19"/>
                <w:szCs w:val="19"/>
              </w:rPr>
              <w:t xml:space="preserve">21.6%</w:t>
            </w:r>
          </w:p>
        </w:tc>
        <w:tc>
          <w:tcPr>
            <w:tcW w:type="dxa" w:w="700"/>
            <w:tcMar>
              <w:top w:type="dxa" w:w="60"/>
              <w:left w:type="dxa" w:w="100"/>
              <w:bottom w:type="dxa" w:w="60"/>
              <w:right w:type="dxa" w:w="100"/>
            </w:tcMar>
            <w:vAlign w:val="center"/>
          </w:tcPr>
          <w:p>
            <w:pPr>
              <w:jc w:val="left"/>
            </w:pPr>
            <w:r>
              <w:rPr>
                <w:b w:val="false"/>
                <w:bCs w:val="false"/>
                <w:sz w:val="19"/>
                <w:szCs w:val="19"/>
              </w:rPr>
              <w:t xml:space="preserve">48.6</w:t>
            </w:r>
          </w:p>
        </w:tc>
        <w:tc>
          <w:tcPr>
            <w:tcW w:type="dxa" w:w="900"/>
            <w:tcMar>
              <w:top w:type="dxa" w:w="60"/>
              <w:left w:type="dxa" w:w="100"/>
              <w:bottom w:type="dxa" w:w="60"/>
              <w:right w:type="dxa" w:w="100"/>
            </w:tcMar>
            <w:vAlign w:val="center"/>
          </w:tcPr>
          <w:p>
            <w:pPr>
              <w:jc w:val="left"/>
            </w:pPr>
            <w:r>
              <w:rPr>
                <w:b w:val="false"/>
                <w:bCs w:val="false"/>
                <w:sz w:val="19"/>
                <w:szCs w:val="19"/>
              </w:rPr>
              <w:t xml:space="preserve">$83,816</w:t>
            </w:r>
          </w:p>
        </w:tc>
        <w:tc>
          <w:tcPr>
            <w:tcW w:type="dxa" w:w="800"/>
            <w:tcMar>
              <w:top w:type="dxa" w:w="60"/>
              <w:left w:type="dxa" w:w="100"/>
              <w:bottom w:type="dxa" w:w="60"/>
              <w:right w:type="dxa" w:w="100"/>
            </w:tcMar>
            <w:vAlign w:val="center"/>
          </w:tcPr>
          <w:p>
            <w:pPr>
              <w:jc w:val="left"/>
            </w:pPr>
            <w:r>
              <w:rPr>
                <w:b w:val="false"/>
                <w:bCs w:val="false"/>
                <w:sz w:val="19"/>
                <w:szCs w:val="19"/>
              </w:rPr>
              <w:t xml:space="preserve">2.3</w:t>
            </w:r>
          </w:p>
        </w:tc>
        <w:tc>
          <w:tcPr>
            <w:tcW w:type="dxa" w:w="800"/>
            <w:tcMar>
              <w:top w:type="dxa" w:w="60"/>
              <w:left w:type="dxa" w:w="100"/>
              <w:bottom w:type="dxa" w:w="60"/>
              <w:right w:type="dxa" w:w="100"/>
            </w:tcMar>
            <w:vAlign w:val="center"/>
          </w:tcPr>
          <w:p>
            <w:pPr>
              <w:jc w:val="left"/>
            </w:pPr>
            <w:r>
              <w:rPr>
                <w:b w:val="false"/>
                <w:bCs w:val="false"/>
                <w:sz w:val="19"/>
                <w:szCs w:val="19"/>
              </w:rPr>
              <w:t xml:space="preserve">0.7</w:t>
            </w:r>
          </w:p>
        </w:tc>
        <w:tc>
          <w:tcPr>
            <w:tcW w:type="dxa" w:w="1000"/>
            <w:tcMar>
              <w:top w:type="dxa" w:w="60"/>
              <w:left w:type="dxa" w:w="100"/>
              <w:bottom w:type="dxa" w:w="60"/>
              <w:right w:type="dxa" w:w="100"/>
            </w:tcMar>
            <w:vAlign w:val="center"/>
          </w:tcPr>
          <w:p>
            <w:pPr>
              <w:jc w:val="left"/>
            </w:pPr>
            <w:r>
              <w:rPr>
                <w:b w:val="false"/>
                <w:bCs w:val="false"/>
                <w:sz w:val="19"/>
                <w:szCs w:val="19"/>
              </w:rPr>
              <w:t xml:space="preserve">PhD</w:t>
            </w:r>
          </w:p>
        </w:tc>
        <w:tc>
          <w:tcPr>
            <w:tcW w:type="dxa" w:w="1000"/>
            <w:tcMar>
              <w:top w:type="dxa" w:w="60"/>
              <w:left w:type="dxa" w:w="100"/>
              <w:bottom w:type="dxa" w:w="60"/>
              <w:right w:type="dxa" w:w="100"/>
            </w:tcMar>
            <w:vAlign w:val="center"/>
          </w:tcPr>
          <w:p>
            <w:pPr>
              <w:jc w:val="left"/>
            </w:pPr>
            <w:r>
              <w:rPr>
                <w:b w:val="false"/>
                <w:bCs w:val="false"/>
                <w:sz w:val="19"/>
                <w:szCs w:val="19"/>
              </w:rPr>
              <w:t xml:space="preserve">Married</w:t>
            </w:r>
          </w:p>
        </w:tc>
      </w:tr>
      <w:tr>
        <w:trPr>
          <w:cantSplit/>
        </w:trPr>
        <w:tc>
          <w:tcPr>
            <w:tcW w:type="dxa" w:w="1700"/>
            <w:shd w:fill="EAF1F8" w:val="clear"/>
            <w:tcMar>
              <w:top w:type="dxa" w:w="60"/>
              <w:left w:type="dxa" w:w="100"/>
              <w:bottom w:type="dxa" w:w="60"/>
              <w:right w:type="dxa" w:w="100"/>
            </w:tcMar>
            <w:vAlign w:val="center"/>
          </w:tcPr>
          <w:p>
            <w:pPr>
              <w:jc w:val="left"/>
            </w:pPr>
            <w:r>
              <w:rPr>
                <w:b w:val="false"/>
                <w:bCs w:val="false"/>
                <w:sz w:val="19"/>
                <w:szCs w:val="19"/>
              </w:rPr>
              <w:t xml:space="preserve">Digital-First Deal Seekers</w:t>
            </w:r>
          </w:p>
        </w:tc>
        <w:tc>
          <w:tcPr>
            <w:tcW w:type="dxa" w:w="500"/>
            <w:shd w:fill="EAF1F8" w:val="clear"/>
            <w:tcMar>
              <w:top w:type="dxa" w:w="60"/>
              <w:left w:type="dxa" w:w="100"/>
              <w:bottom w:type="dxa" w:w="60"/>
              <w:right w:type="dxa" w:w="100"/>
            </w:tcMar>
            <w:vAlign w:val="center"/>
          </w:tcPr>
          <w:p>
            <w:pPr>
              <w:jc w:val="left"/>
            </w:pPr>
            <w:r>
              <w:rPr>
                <w:b w:val="false"/>
                <w:bCs w:val="false"/>
                <w:sz w:val="19"/>
                <w:szCs w:val="19"/>
              </w:rPr>
              <w:t xml:space="preserve">160</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26.8%</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30</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$42,563</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2.9</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1.4</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Graduation</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Single</w:t>
            </w:r>
          </w:p>
        </w:tc>
      </w:tr>
      <w:tr>
        <w:trPr>
          <w:cantSplit/>
        </w:trPr>
        <w:tc>
          <w:tcPr>
            <w:tcW w:type="dxa" w:w="1700"/>
            <w:tcMar>
              <w:top w:type="dxa" w:w="60"/>
              <w:left w:type="dxa" w:w="100"/>
              <w:bottom w:type="dxa" w:w="60"/>
              <w:right w:type="dxa" w:w="100"/>
            </w:tcMar>
            <w:vAlign w:val="center"/>
          </w:tcPr>
          <w:p>
            <w:pPr>
              <w:jc w:val="left"/>
            </w:pPr>
            <w:r>
              <w:rPr>
                <w:b w:val="false"/>
                <w:bCs w:val="false"/>
                <w:sz w:val="19"/>
                <w:szCs w:val="19"/>
              </w:rPr>
              <w:t xml:space="preserve">Low-Value Inactive</w:t>
            </w:r>
          </w:p>
        </w:tc>
        <w:tc>
          <w:tcPr>
            <w:tcW w:type="dxa" w:w="500"/>
            <w:tcMar>
              <w:top w:type="dxa" w:w="60"/>
              <w:left w:type="dxa" w:w="100"/>
              <w:bottom w:type="dxa" w:w="60"/>
              <w:right w:type="dxa" w:w="100"/>
            </w:tcMar>
            <w:vAlign w:val="center"/>
          </w:tcPr>
          <w:p>
            <w:pPr>
              <w:jc w:val="left"/>
            </w:pPr>
            <w:r>
              <w:rPr>
                <w:b w:val="false"/>
                <w:bCs w:val="false"/>
                <w:sz w:val="19"/>
                <w:szCs w:val="19"/>
              </w:rPr>
              <w:t xml:space="preserve">162</w:t>
            </w:r>
          </w:p>
        </w:tc>
        <w:tc>
          <w:tcPr>
            <w:tcW w:type="dxa" w:w="700"/>
            <w:tcMar>
              <w:top w:type="dxa" w:w="60"/>
              <w:left w:type="dxa" w:w="100"/>
              <w:bottom w:type="dxa" w:w="60"/>
              <w:right w:type="dxa" w:w="100"/>
            </w:tcMar>
            <w:vAlign w:val="center"/>
          </w:tcPr>
          <w:p>
            <w:pPr>
              <w:jc w:val="left"/>
            </w:pPr>
            <w:r>
              <w:rPr>
                <w:b w:val="false"/>
                <w:bCs w:val="false"/>
                <w:sz w:val="19"/>
                <w:szCs w:val="19"/>
              </w:rPr>
              <w:t xml:space="preserve">27.1%</w:t>
            </w:r>
          </w:p>
        </w:tc>
        <w:tc>
          <w:tcPr>
            <w:tcW w:type="dxa" w:w="700"/>
            <w:tcMar>
              <w:top w:type="dxa" w:w="60"/>
              <w:left w:type="dxa" w:w="100"/>
              <w:bottom w:type="dxa" w:w="60"/>
              <w:right w:type="dxa" w:w="100"/>
            </w:tcMar>
            <w:vAlign w:val="center"/>
          </w:tcPr>
          <w:p>
            <w:pPr>
              <w:jc w:val="left"/>
            </w:pPr>
            <w:r>
              <w:rPr>
                <w:b w:val="false"/>
                <w:bCs w:val="false"/>
                <w:sz w:val="19"/>
                <w:szCs w:val="19"/>
              </w:rPr>
              <w:t xml:space="preserve">39.9</w:t>
            </w:r>
          </w:p>
        </w:tc>
        <w:tc>
          <w:tcPr>
            <w:tcW w:type="dxa" w:w="900"/>
            <w:tcMar>
              <w:top w:type="dxa" w:w="60"/>
              <w:left w:type="dxa" w:w="100"/>
              <w:bottom w:type="dxa" w:w="60"/>
              <w:right w:type="dxa" w:w="100"/>
            </w:tcMar>
            <w:vAlign w:val="center"/>
          </w:tcPr>
          <w:p>
            <w:pPr>
              <w:jc w:val="left"/>
            </w:pPr>
            <w:r>
              <w:rPr>
                <w:b w:val="false"/>
                <w:bCs w:val="false"/>
                <w:sz w:val="19"/>
                <w:szCs w:val="19"/>
              </w:rPr>
              <w:t xml:space="preserve">$31,079</w:t>
            </w:r>
          </w:p>
        </w:tc>
        <w:tc>
          <w:tcPr>
            <w:tcW w:type="dxa" w:w="800"/>
            <w:tcMar>
              <w:top w:type="dxa" w:w="60"/>
              <w:left w:type="dxa" w:w="100"/>
              <w:bottom w:type="dxa" w:w="60"/>
              <w:right w:type="dxa" w:w="100"/>
            </w:tcMar>
            <w:vAlign w:val="center"/>
          </w:tcPr>
          <w:p>
            <w:pPr>
              <w:jc w:val="left"/>
            </w:pPr>
            <w:r>
              <w:rPr>
                <w:b w:val="false"/>
                <w:bCs w:val="false"/>
                <w:sz w:val="19"/>
                <w:szCs w:val="19"/>
              </w:rPr>
              <w:t xml:space="preserve">2.6</w:t>
            </w:r>
          </w:p>
        </w:tc>
        <w:tc>
          <w:tcPr>
            <w:tcW w:type="dxa" w:w="800"/>
            <w:tcMar>
              <w:top w:type="dxa" w:w="60"/>
              <w:left w:type="dxa" w:w="100"/>
              <w:bottom w:type="dxa" w:w="60"/>
              <w:right w:type="dxa" w:w="100"/>
            </w:tcMar>
            <w:vAlign w:val="center"/>
          </w:tcPr>
          <w:p>
            <w:pPr>
              <w:jc w:val="left"/>
            </w:pPr>
            <w:r>
              <w:rPr>
                <w:b w:val="false"/>
                <w:bCs w:val="false"/>
                <w:sz w:val="19"/>
                <w:szCs w:val="19"/>
              </w:rPr>
              <w:t xml:space="preserve">1.1</w:t>
            </w:r>
          </w:p>
        </w:tc>
        <w:tc>
          <w:tcPr>
            <w:tcW w:type="dxa" w:w="1000"/>
            <w:tcMar>
              <w:top w:type="dxa" w:w="60"/>
              <w:left w:type="dxa" w:w="100"/>
              <w:bottom w:type="dxa" w:w="60"/>
              <w:right w:type="dxa" w:w="100"/>
            </w:tcMar>
            <w:vAlign w:val="center"/>
          </w:tcPr>
          <w:p>
            <w:pPr>
              <w:jc w:val="left"/>
            </w:pPr>
            <w:r>
              <w:rPr>
                <w:b w:val="false"/>
                <w:bCs w:val="false"/>
                <w:sz w:val="19"/>
                <w:szCs w:val="19"/>
              </w:rPr>
              <w:t xml:space="preserve">Graduation</w:t>
            </w:r>
          </w:p>
        </w:tc>
        <w:tc>
          <w:tcPr>
            <w:tcW w:type="dxa" w:w="1000"/>
            <w:tcMar>
              <w:top w:type="dxa" w:w="60"/>
              <w:left w:type="dxa" w:w="100"/>
              <w:bottom w:type="dxa" w:w="60"/>
              <w:right w:type="dxa" w:w="100"/>
            </w:tcMar>
            <w:vAlign w:val="center"/>
          </w:tcPr>
          <w:p>
            <w:pPr>
              <w:jc w:val="left"/>
            </w:pPr>
            <w:r>
              <w:rPr>
                <w:b w:val="false"/>
                <w:bCs w:val="false"/>
                <w:sz w:val="19"/>
                <w:szCs w:val="19"/>
              </w:rPr>
              <w:t xml:space="preserve">Single</w:t>
            </w:r>
          </w:p>
        </w:tc>
      </w:tr>
      <w:tr>
        <w:trPr>
          <w:cantSplit/>
        </w:trPr>
        <w:tc>
          <w:tcPr>
            <w:tcW w:type="dxa" w:w="1700"/>
            <w:shd w:fill="EAF1F8" w:val="clear"/>
            <w:tcMar>
              <w:top w:type="dxa" w:w="60"/>
              <w:left w:type="dxa" w:w="100"/>
              <w:bottom w:type="dxa" w:w="60"/>
              <w:right w:type="dxa" w:w="100"/>
            </w:tcMar>
            <w:vAlign w:val="center"/>
          </w:tcPr>
          <w:p>
            <w:pPr>
              <w:jc w:val="left"/>
            </w:pPr>
            <w:r>
              <w:rPr>
                <w:b w:val="false"/>
                <w:bCs w:val="false"/>
                <w:sz w:val="19"/>
                <w:szCs w:val="19"/>
              </w:rPr>
              <w:t xml:space="preserve">Store-Oriented Traditional</w:t>
            </w:r>
          </w:p>
        </w:tc>
        <w:tc>
          <w:tcPr>
            <w:tcW w:type="dxa" w:w="500"/>
            <w:shd w:fill="EAF1F8" w:val="clear"/>
            <w:tcMar>
              <w:top w:type="dxa" w:w="60"/>
              <w:left w:type="dxa" w:w="100"/>
              <w:bottom w:type="dxa" w:w="60"/>
              <w:right w:type="dxa" w:w="100"/>
            </w:tcMar>
            <w:vAlign w:val="center"/>
          </w:tcPr>
          <w:p>
            <w:pPr>
              <w:jc w:val="left"/>
            </w:pPr>
            <w:r>
              <w:rPr>
                <w:b w:val="false"/>
                <w:bCs w:val="false"/>
                <w:sz w:val="19"/>
                <w:szCs w:val="19"/>
              </w:rPr>
              <w:t xml:space="preserve">147</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24.6%</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52.8</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$56,103</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1.3</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Graduation</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Married</w:t>
            </w:r>
          </w:p>
        </w:tc>
      </w:tr>
    </w:tbl>
    <w:p>
      <w:pPr>
        <w:spacing w:after="150"/>
      </w:pPr>
    </w:p>
    <w:p>
      <w:pPr>
        <w:spacing w:after="120"/>
      </w:pPr>
      <w:r>
        <w:t xml:space="preserve">Key demographic patterns: the Premium Loyal segment skews older with higher education (PhD most common) and smaller households, while the Digital-First Deal Seekers are markedly younger with larger families and more children at home. The Store-Oriented Traditional segment has the largest average family size and the oldest average age, consistent with an established-household profile.</w:t>
      </w:r>
    </w:p>
    <w:p>
      <w:pPr>
        <w:pStyle w:val="Heading1"/>
        <w:spacing w:after="120" w:before="200"/>
      </w:pPr>
      <w:r>
        <w:t xml:space="preserve">2. Spending Behavior Analysis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cantSplit/>
          <w:tblHeader/>
        </w:trPr>
        <w:tc>
          <w:tcPr>
            <w:tcW w:type="dxa" w:w="2100"/>
            <w:shd w:fill="2E5C8A"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800"/>
            <w:shd w:fill="2E5C8A" w:val="clear"/>
            <w:tcMar>
              <w:top w:type="dxa" w:w="60"/>
              <w:left w:type="dxa" w:w="100"/>
              <w:bottom w:type="dxa" w:w="60"/>
              <w:right w:type="dxa" w:w="100"/>
            </w:tcMar>
            <w:vAlign w:val="center"/>
          </w:tcPr>
          <w:p>
            <w:pPr>
              <w:jc w:val="left"/>
            </w:pPr>
            <w:r>
              <w:rPr>
                <w:b/>
                <w:bCs/>
                <w:color w:val="FFFFFF"/>
                <w:sz w:val="19"/>
                <w:szCs w:val="19"/>
              </w:rPr>
              <w:t xml:space="preserve">Wine</w:t>
            </w:r>
          </w:p>
        </w:tc>
        <w:tc>
          <w:tcPr>
            <w:tcW w:type="dxa" w:w="700"/>
            <w:shd w:fill="2E5C8A" w:val="clear"/>
            <w:tcMar>
              <w:top w:type="dxa" w:w="60"/>
              <w:left w:type="dxa" w:w="100"/>
              <w:bottom w:type="dxa" w:w="60"/>
              <w:right w:type="dxa" w:w="100"/>
            </w:tcMar>
            <w:vAlign w:val="center"/>
          </w:tcPr>
          <w:p>
            <w:pPr>
              <w:jc w:val="left"/>
            </w:pPr>
            <w:r>
              <w:rPr>
                <w:b/>
                <w:bCs/>
                <w:color w:val="FFFFFF"/>
                <w:sz w:val="19"/>
                <w:szCs w:val="19"/>
              </w:rPr>
              <w:t xml:space="preserve">Fruit</w:t>
            </w:r>
          </w:p>
        </w:tc>
        <w:tc>
          <w:tcPr>
            <w:tcW w:type="dxa" w:w="800"/>
            <w:shd w:fill="2E5C8A" w:val="clear"/>
            <w:tcMar>
              <w:top w:type="dxa" w:w="60"/>
              <w:left w:type="dxa" w:w="100"/>
              <w:bottom w:type="dxa" w:w="60"/>
              <w:right w:type="dxa" w:w="100"/>
            </w:tcMar>
            <w:vAlign w:val="center"/>
          </w:tcPr>
          <w:p>
            <w:pPr>
              <w:jc w:val="left"/>
            </w:pPr>
            <w:r>
              <w:rPr>
                <w:b/>
                <w:bCs/>
                <w:color w:val="FFFFFF"/>
                <w:sz w:val="19"/>
                <w:szCs w:val="19"/>
              </w:rPr>
              <w:t xml:space="preserve">Meat</w:t>
            </w:r>
          </w:p>
        </w:tc>
        <w:tc>
          <w:tcPr>
            <w:tcW w:type="dxa" w:w="700"/>
            <w:shd w:fill="2E5C8A" w:val="clear"/>
            <w:tcMar>
              <w:top w:type="dxa" w:w="60"/>
              <w:left w:type="dxa" w:w="100"/>
              <w:bottom w:type="dxa" w:w="60"/>
              <w:right w:type="dxa" w:w="100"/>
            </w:tcMar>
            <w:vAlign w:val="center"/>
          </w:tcPr>
          <w:p>
            <w:pPr>
              <w:jc w:val="left"/>
            </w:pPr>
            <w:r>
              <w:rPr>
                <w:b/>
                <w:bCs/>
                <w:color w:val="FFFFFF"/>
                <w:sz w:val="19"/>
                <w:szCs w:val="19"/>
              </w:rPr>
              <w:t xml:space="preserve">Fish</w:t>
            </w:r>
          </w:p>
        </w:tc>
        <w:tc>
          <w:tcPr>
            <w:tcW w:type="dxa" w:w="800"/>
            <w:shd w:fill="2E5C8A" w:val="clear"/>
            <w:tcMar>
              <w:top w:type="dxa" w:w="60"/>
              <w:left w:type="dxa" w:w="100"/>
              <w:bottom w:type="dxa" w:w="60"/>
              <w:right w:type="dxa" w:w="100"/>
            </w:tcMar>
            <w:vAlign w:val="center"/>
          </w:tcPr>
          <w:p>
            <w:pPr>
              <w:jc w:val="left"/>
            </w:pPr>
            <w:r>
              <w:rPr>
                <w:b/>
                <w:bCs/>
                <w:color w:val="FFFFFF"/>
                <w:sz w:val="19"/>
                <w:szCs w:val="19"/>
              </w:rPr>
              <w:t xml:space="preserve">Sweets</w:t>
            </w:r>
          </w:p>
        </w:tc>
        <w:tc>
          <w:tcPr>
            <w:tcW w:type="dxa" w:w="700"/>
            <w:shd w:fill="2E5C8A" w:val="clear"/>
            <w:tcMar>
              <w:top w:type="dxa" w:w="60"/>
              <w:left w:type="dxa" w:w="100"/>
              <w:bottom w:type="dxa" w:w="60"/>
              <w:right w:type="dxa" w:w="100"/>
            </w:tcMar>
            <w:vAlign w:val="center"/>
          </w:tcPr>
          <w:p>
            <w:pPr>
              <w:jc w:val="left"/>
            </w:pPr>
            <w:r>
              <w:rPr>
                <w:b/>
                <w:bCs/>
                <w:color w:val="FFFFFF"/>
                <w:sz w:val="19"/>
                <w:szCs w:val="19"/>
              </w:rPr>
              <w:t xml:space="preserve">Gold</w:t>
            </w:r>
          </w:p>
        </w:tc>
        <w:tc>
          <w:tcPr>
            <w:tcW w:type="dxa" w:w="1100"/>
            <w:shd w:fill="2E5C8A" w:val="clear"/>
            <w:tcMar>
              <w:top w:type="dxa" w:w="60"/>
              <w:left w:type="dxa" w:w="100"/>
              <w:bottom w:type="dxa" w:w="60"/>
              <w:right w:type="dxa" w:w="100"/>
            </w:tcMar>
            <w:vAlign w:val="center"/>
          </w:tcPr>
          <w:p>
            <w:pPr>
              <w:jc w:val="left"/>
            </w:pPr>
            <w:r>
              <w:rPr>
                <w:b/>
                <w:bCs/>
                <w:color w:val="FFFFFF"/>
                <w:sz w:val="19"/>
                <w:szCs w:val="19"/>
              </w:rPr>
              <w:t xml:space="preserve">Total Spend</w:t>
            </w:r>
          </w:p>
        </w:tc>
      </w:tr>
      <w:tr>
        <w:trPr>
          <w:cantSplit/>
        </w:trPr>
        <w:tc>
          <w:tcPr>
            <w:tcW w:type="dxa" w:w="2100"/>
            <w:tcMar>
              <w:top w:type="dxa" w:w="60"/>
              <w:left w:type="dxa" w:w="100"/>
              <w:bottom w:type="dxa" w:w="60"/>
              <w:right w:type="dxa" w:w="100"/>
            </w:tcMar>
            <w:vAlign w:val="center"/>
          </w:tcPr>
          <w:p>
            <w:pPr>
              <w:jc w:val="left"/>
            </w:pPr>
            <w:r>
              <w:rPr>
                <w:b w:val="false"/>
                <w:bCs w:val="false"/>
                <w:sz w:val="19"/>
                <w:szCs w:val="19"/>
              </w:rPr>
              <w:t xml:space="preserve">Premium Loyal</w:t>
            </w:r>
          </w:p>
        </w:tc>
        <w:tc>
          <w:tcPr>
            <w:tcW w:type="dxa" w:w="800"/>
            <w:tcMar>
              <w:top w:type="dxa" w:w="60"/>
              <w:left w:type="dxa" w:w="100"/>
              <w:bottom w:type="dxa" w:w="60"/>
              <w:right w:type="dxa" w:w="100"/>
            </w:tcMar>
            <w:vAlign w:val="center"/>
          </w:tcPr>
          <w:p>
            <w:pPr>
              <w:jc w:val="left"/>
            </w:pPr>
            <w:r>
              <w:rPr>
                <w:b w:val="false"/>
                <w:bCs w:val="false"/>
                <w:sz w:val="19"/>
                <w:szCs w:val="19"/>
              </w:rPr>
              <w:t xml:space="preserve">$637</w:t>
            </w:r>
          </w:p>
        </w:tc>
        <w:tc>
          <w:tcPr>
            <w:tcW w:type="dxa" w:w="700"/>
            <w:tcMar>
              <w:top w:type="dxa" w:w="60"/>
              <w:left w:type="dxa" w:w="100"/>
              <w:bottom w:type="dxa" w:w="60"/>
              <w:right w:type="dxa" w:w="100"/>
            </w:tcMar>
            <w:vAlign w:val="center"/>
          </w:tcPr>
          <w:p>
            <w:pPr>
              <w:jc w:val="left"/>
            </w:pPr>
            <w:r>
              <w:rPr>
                <w:b w:val="false"/>
                <w:bCs w:val="false"/>
                <w:sz w:val="19"/>
                <w:szCs w:val="19"/>
              </w:rPr>
              <w:t xml:space="preserve">$65</w:t>
            </w:r>
          </w:p>
        </w:tc>
        <w:tc>
          <w:tcPr>
            <w:tcW w:type="dxa" w:w="800"/>
            <w:tcMar>
              <w:top w:type="dxa" w:w="60"/>
              <w:left w:type="dxa" w:w="100"/>
              <w:bottom w:type="dxa" w:w="60"/>
              <w:right w:type="dxa" w:w="100"/>
            </w:tcMar>
            <w:vAlign w:val="center"/>
          </w:tcPr>
          <w:p>
            <w:pPr>
              <w:jc w:val="left"/>
            </w:pPr>
            <w:r>
              <w:rPr>
                <w:b w:val="false"/>
                <w:bCs w:val="false"/>
                <w:sz w:val="19"/>
                <w:szCs w:val="19"/>
              </w:rPr>
              <w:t xml:space="preserve">$433</w:t>
            </w:r>
          </w:p>
        </w:tc>
        <w:tc>
          <w:tcPr>
            <w:tcW w:type="dxa" w:w="700"/>
            <w:tcMar>
              <w:top w:type="dxa" w:w="60"/>
              <w:left w:type="dxa" w:w="100"/>
              <w:bottom w:type="dxa" w:w="60"/>
              <w:right w:type="dxa" w:w="100"/>
            </w:tcMar>
            <w:vAlign w:val="center"/>
          </w:tcPr>
          <w:p>
            <w:pPr>
              <w:jc w:val="left"/>
            </w:pPr>
            <w:r>
              <w:rPr>
                <w:b w:val="false"/>
                <w:bCs w:val="false"/>
                <w:sz w:val="19"/>
                <w:szCs w:val="19"/>
              </w:rPr>
              <w:t xml:space="preserve">$88</w:t>
            </w:r>
          </w:p>
        </w:tc>
        <w:tc>
          <w:tcPr>
            <w:tcW w:type="dxa" w:w="800"/>
            <w:tcMar>
              <w:top w:type="dxa" w:w="60"/>
              <w:left w:type="dxa" w:w="100"/>
              <w:bottom w:type="dxa" w:w="60"/>
              <w:right w:type="dxa" w:w="100"/>
            </w:tcMar>
            <w:vAlign w:val="center"/>
          </w:tcPr>
          <w:p>
            <w:pPr>
              <w:jc w:val="left"/>
            </w:pPr>
            <w:r>
              <w:rPr>
                <w:b w:val="false"/>
                <w:bCs w:val="false"/>
                <w:sz w:val="19"/>
                <w:szCs w:val="19"/>
              </w:rPr>
              <w:t xml:space="preserve">$61</w:t>
            </w:r>
          </w:p>
        </w:tc>
        <w:tc>
          <w:tcPr>
            <w:tcW w:type="dxa" w:w="700"/>
            <w:tcMar>
              <w:top w:type="dxa" w:w="60"/>
              <w:left w:type="dxa" w:w="100"/>
              <w:bottom w:type="dxa" w:w="60"/>
              <w:right w:type="dxa" w:w="100"/>
            </w:tcMar>
            <w:vAlign w:val="center"/>
          </w:tcPr>
          <w:p>
            <w:pPr>
              <w:jc w:val="left"/>
            </w:pPr>
            <w:r>
              <w:rPr>
                <w:b w:val="false"/>
                <w:bCs w:val="false"/>
                <w:sz w:val="19"/>
                <w:szCs w:val="19"/>
              </w:rPr>
              <w:t xml:space="preserve">$107</w:t>
            </w:r>
          </w:p>
        </w:tc>
        <w:tc>
          <w:tcPr>
            <w:tcW w:type="dxa" w:w="1100"/>
            <w:tcMar>
              <w:top w:type="dxa" w:w="60"/>
              <w:left w:type="dxa" w:w="100"/>
              <w:bottom w:type="dxa" w:w="60"/>
              <w:right w:type="dxa" w:w="100"/>
            </w:tcMar>
            <w:vAlign w:val="center"/>
          </w:tcPr>
          <w:p>
            <w:pPr>
              <w:jc w:val="left"/>
            </w:pPr>
            <w:r>
              <w:rPr>
                <w:b w:val="false"/>
                <w:bCs w:val="false"/>
                <w:sz w:val="19"/>
                <w:szCs w:val="19"/>
              </w:rPr>
              <w:t xml:space="preserve">$1390</w:t>
            </w:r>
          </w:p>
        </w:tc>
      </w:tr>
      <w:tr>
        <w:trPr>
          <w:cantSplit/>
        </w:trPr>
        <w:tc>
          <w:tcPr>
            <w:tcW w:type="dxa" w:w="2100"/>
            <w:shd w:fill="EAF1F8" w:val="clear"/>
            <w:tcMar>
              <w:top w:type="dxa" w:w="60"/>
              <w:left w:type="dxa" w:w="100"/>
              <w:bottom w:type="dxa" w:w="60"/>
              <w:right w:type="dxa" w:w="100"/>
            </w:tcMar>
            <w:vAlign w:val="center"/>
          </w:tcPr>
          <w:p>
            <w:pPr>
              <w:jc w:val="left"/>
            </w:pPr>
            <w:r>
              <w:rPr>
                <w:b w:val="false"/>
                <w:bCs w:val="false"/>
                <w:sz w:val="19"/>
                <w:szCs w:val="19"/>
              </w:rPr>
              <w:t xml:space="preserve">Digital-First Deal Seekers</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$105</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$14</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$73</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$18</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$17</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$25</w:t>
            </w:r>
          </w:p>
        </w:tc>
        <w:tc>
          <w:tcPr>
            <w:tcW w:type="dxa" w:w="1100"/>
            <w:shd w:fill="EAF1F8" w:val="clear"/>
            <w:tcMar>
              <w:top w:type="dxa" w:w="60"/>
              <w:left w:type="dxa" w:w="100"/>
              <w:bottom w:type="dxa" w:w="60"/>
              <w:right w:type="dxa" w:w="100"/>
            </w:tcMar>
            <w:vAlign w:val="center"/>
          </w:tcPr>
          <w:p>
            <w:pPr>
              <w:jc w:val="left"/>
            </w:pPr>
            <w:r>
              <w:rPr>
                <w:b w:val="false"/>
                <w:bCs w:val="false"/>
                <w:sz w:val="19"/>
                <w:szCs w:val="19"/>
              </w:rPr>
              <w:t xml:space="preserve">$252</w:t>
            </w:r>
          </w:p>
        </w:tc>
      </w:tr>
      <w:tr>
        <w:trPr>
          <w:cantSplit/>
        </w:trPr>
        <w:tc>
          <w:tcPr>
            <w:tcW w:type="dxa" w:w="2100"/>
            <w:tcMar>
              <w:top w:type="dxa" w:w="60"/>
              <w:left w:type="dxa" w:w="100"/>
              <w:bottom w:type="dxa" w:w="60"/>
              <w:right w:type="dxa" w:w="100"/>
            </w:tcMar>
            <w:vAlign w:val="center"/>
          </w:tcPr>
          <w:p>
            <w:pPr>
              <w:jc w:val="left"/>
            </w:pPr>
            <w:r>
              <w:rPr>
                <w:b w:val="false"/>
                <w:bCs w:val="false"/>
                <w:sz w:val="19"/>
                <w:szCs w:val="19"/>
              </w:rPr>
              <w:t xml:space="preserve">Low-Value Inactive</w:t>
            </w:r>
          </w:p>
        </w:tc>
        <w:tc>
          <w:tcPr>
            <w:tcW w:type="dxa" w:w="800"/>
            <w:tcMar>
              <w:top w:type="dxa" w:w="60"/>
              <w:left w:type="dxa" w:w="100"/>
              <w:bottom w:type="dxa" w:w="60"/>
              <w:right w:type="dxa" w:w="100"/>
            </w:tcMar>
            <w:vAlign w:val="center"/>
          </w:tcPr>
          <w:p>
            <w:pPr>
              <w:jc w:val="left"/>
            </w:pPr>
            <w:r>
              <w:rPr>
                <w:b w:val="false"/>
                <w:bCs w:val="false"/>
                <w:sz w:val="19"/>
                <w:szCs w:val="19"/>
              </w:rPr>
              <w:t xml:space="preserve">$47</w:t>
            </w:r>
          </w:p>
        </w:tc>
        <w:tc>
          <w:tcPr>
            <w:tcW w:type="dxa" w:w="700"/>
            <w:tcMar>
              <w:top w:type="dxa" w:w="60"/>
              <w:left w:type="dxa" w:w="100"/>
              <w:bottom w:type="dxa" w:w="60"/>
              <w:right w:type="dxa" w:w="100"/>
            </w:tcMar>
            <w:vAlign w:val="center"/>
          </w:tcPr>
          <w:p>
            <w:pPr>
              <w:jc w:val="left"/>
            </w:pPr>
            <w:r>
              <w:rPr>
                <w:b w:val="false"/>
                <w:bCs w:val="false"/>
                <w:sz w:val="19"/>
                <w:szCs w:val="19"/>
              </w:rPr>
              <w:t xml:space="preserve">$8</w:t>
            </w:r>
          </w:p>
        </w:tc>
        <w:tc>
          <w:tcPr>
            <w:tcW w:type="dxa" w:w="800"/>
            <w:tcMar>
              <w:top w:type="dxa" w:w="60"/>
              <w:left w:type="dxa" w:w="100"/>
              <w:bottom w:type="dxa" w:w="60"/>
              <w:right w:type="dxa" w:w="100"/>
            </w:tcMar>
            <w:vAlign w:val="center"/>
          </w:tcPr>
          <w:p>
            <w:pPr>
              <w:jc w:val="left"/>
            </w:pPr>
            <w:r>
              <w:rPr>
                <w:b w:val="false"/>
                <w:bCs w:val="false"/>
                <w:sz w:val="19"/>
                <w:szCs w:val="19"/>
              </w:rPr>
              <w:t xml:space="preserve">$43</w:t>
            </w:r>
          </w:p>
        </w:tc>
        <w:tc>
          <w:tcPr>
            <w:tcW w:type="dxa" w:w="700"/>
            <w:tcMar>
              <w:top w:type="dxa" w:w="60"/>
              <w:left w:type="dxa" w:w="100"/>
              <w:bottom w:type="dxa" w:w="60"/>
              <w:right w:type="dxa" w:w="100"/>
            </w:tcMar>
            <w:vAlign w:val="center"/>
          </w:tcPr>
          <w:p>
            <w:pPr>
              <w:jc w:val="left"/>
            </w:pPr>
            <w:r>
              <w:rPr>
                <w:b w:val="false"/>
                <w:bCs w:val="false"/>
                <w:sz w:val="19"/>
                <w:szCs w:val="19"/>
              </w:rPr>
              <w:t xml:space="preserve">$11</w:t>
            </w:r>
          </w:p>
        </w:tc>
        <w:tc>
          <w:tcPr>
            <w:tcW w:type="dxa" w:w="800"/>
            <w:tcMar>
              <w:top w:type="dxa" w:w="60"/>
              <w:left w:type="dxa" w:w="100"/>
              <w:bottom w:type="dxa" w:w="60"/>
              <w:right w:type="dxa" w:w="100"/>
            </w:tcMar>
            <w:vAlign w:val="center"/>
          </w:tcPr>
          <w:p>
            <w:pPr>
              <w:jc w:val="left"/>
            </w:pPr>
            <w:r>
              <w:rPr>
                <w:b w:val="false"/>
                <w:bCs w:val="false"/>
                <w:sz w:val="19"/>
                <w:szCs w:val="19"/>
              </w:rPr>
              <w:t xml:space="preserve">$8</w:t>
            </w:r>
          </w:p>
        </w:tc>
        <w:tc>
          <w:tcPr>
            <w:tcW w:type="dxa" w:w="700"/>
            <w:tcMar>
              <w:top w:type="dxa" w:w="60"/>
              <w:left w:type="dxa" w:w="100"/>
              <w:bottom w:type="dxa" w:w="60"/>
              <w:right w:type="dxa" w:w="100"/>
            </w:tcMar>
            <w:vAlign w:val="center"/>
          </w:tcPr>
          <w:p>
            <w:pPr>
              <w:jc w:val="left"/>
            </w:pPr>
            <w:r>
              <w:rPr>
                <w:b w:val="false"/>
                <w:bCs w:val="false"/>
                <w:sz w:val="19"/>
                <w:szCs w:val="19"/>
              </w:rPr>
              <w:t xml:space="preserve">$16</w:t>
            </w:r>
          </w:p>
        </w:tc>
        <w:tc>
          <w:tcPr>
            <w:tcW w:type="dxa" w:w="1100"/>
            <w:tcMar>
              <w:top w:type="dxa" w:w="60"/>
              <w:left w:type="dxa" w:w="100"/>
              <w:bottom w:type="dxa" w:w="60"/>
              <w:right w:type="dxa" w:w="100"/>
            </w:tcMar>
            <w:vAlign w:val="center"/>
          </w:tcPr>
          <w:p>
            <w:pPr>
              <w:jc w:val="left"/>
            </w:pPr>
            <w:r>
              <w:rPr>
                <w:b w:val="false"/>
                <w:bCs w:val="false"/>
                <w:sz w:val="19"/>
                <w:szCs w:val="19"/>
              </w:rPr>
              <w:t xml:space="preserve">$133</w:t>
            </w:r>
          </w:p>
        </w:tc>
      </w:tr>
      <w:tr>
        <w:trPr>
          <w:cantSplit/>
        </w:trPr>
        <w:tc>
          <w:tcPr>
            <w:tcW w:type="dxa" w:w="2100"/>
            <w:shd w:fill="EAF1F8" w:val="clear"/>
            <w:tcMar>
              <w:top w:type="dxa" w:w="60"/>
              <w:left w:type="dxa" w:w="100"/>
              <w:bottom w:type="dxa" w:w="60"/>
              <w:right w:type="dxa" w:w="100"/>
            </w:tcMar>
            <w:vAlign w:val="center"/>
          </w:tcPr>
          <w:p>
            <w:pPr>
              <w:jc w:val="left"/>
            </w:pPr>
            <w:r>
              <w:rPr>
                <w:b w:val="false"/>
                <w:bCs w:val="false"/>
                <w:sz w:val="19"/>
                <w:szCs w:val="19"/>
              </w:rPr>
              <w:t xml:space="preserve">Store-Oriented Traditional</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$289</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$29</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$168</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$41</w:t>
            </w:r>
          </w:p>
        </w:tc>
        <w:tc>
          <w:tcPr>
            <w:tcW w:type="dxa" w:w="800"/>
            <w:shd w:fill="EAF1F8" w:val="clear"/>
            <w:tcMar>
              <w:top w:type="dxa" w:w="60"/>
              <w:left w:type="dxa" w:w="100"/>
              <w:bottom w:type="dxa" w:w="60"/>
              <w:right w:type="dxa" w:w="100"/>
            </w:tcMar>
            <w:vAlign w:val="center"/>
          </w:tcPr>
          <w:p>
            <w:pPr>
              <w:jc w:val="left"/>
            </w:pPr>
            <w:r>
              <w:rPr>
                <w:b w:val="false"/>
                <w:bCs w:val="false"/>
                <w:sz w:val="19"/>
                <w:szCs w:val="19"/>
              </w:rPr>
              <w:t xml:space="preserve">$26</w:t>
            </w:r>
          </w:p>
        </w:tc>
        <w:tc>
          <w:tcPr>
            <w:tcW w:type="dxa" w:w="700"/>
            <w:shd w:fill="EAF1F8" w:val="clear"/>
            <w:tcMar>
              <w:top w:type="dxa" w:w="60"/>
              <w:left w:type="dxa" w:w="100"/>
              <w:bottom w:type="dxa" w:w="60"/>
              <w:right w:type="dxa" w:w="100"/>
            </w:tcMar>
            <w:vAlign w:val="center"/>
          </w:tcPr>
          <w:p>
            <w:pPr>
              <w:jc w:val="left"/>
            </w:pPr>
            <w:r>
              <w:rPr>
                <w:b w:val="false"/>
                <w:bCs w:val="false"/>
                <w:sz w:val="19"/>
                <w:szCs w:val="19"/>
              </w:rPr>
              <w:t xml:space="preserve">$50</w:t>
            </w:r>
          </w:p>
        </w:tc>
        <w:tc>
          <w:tcPr>
            <w:tcW w:type="dxa" w:w="1100"/>
            <w:shd w:fill="EAF1F8" w:val="clear"/>
            <w:tcMar>
              <w:top w:type="dxa" w:w="60"/>
              <w:left w:type="dxa" w:w="100"/>
              <w:bottom w:type="dxa" w:w="60"/>
              <w:right w:type="dxa" w:w="100"/>
            </w:tcMar>
            <w:vAlign w:val="center"/>
          </w:tcPr>
          <w:p>
            <w:pPr>
              <w:jc w:val="left"/>
            </w:pPr>
            <w:r>
              <w:rPr>
                <w:b w:val="false"/>
                <w:bCs w:val="false"/>
                <w:sz w:val="19"/>
                <w:szCs w:val="19"/>
              </w:rPr>
              <w:t xml:space="preserve">$603</w:t>
            </w:r>
          </w:p>
        </w:tc>
      </w:tr>
    </w:tbl>
    <w:p>
      <w:pPr>
        <w:spacing w:after="150"/>
      </w:pPr>
    </w:p>
    <w:p>
      <w:pPr>
        <w:spacing w:after="120"/>
      </w:pPr>
      <w:r>
        <w:t xml:space="preserve">Highest-spending segment: Premium Loyal Customers ($1390 average). Lowest-spending segment: Low-Value Inactive Customers ($133 average) — roughly a 10x gap between the two. Wine and meat are the two largest spend categories across every segment, but the gap between segments widens most on these two categories, making them the best lever for premium upsell.</w:t>
      </w:r>
    </w:p>
    <w:p>
      <w:pPr>
        <w:pStyle w:val="Heading3"/>
        <w:spacing w:after="80" w:before="160"/>
      </w:pPr>
      <w:r>
        <w:t xml:space="preserve">Product Spending by Segment</w:t>
      </w:r>
    </w:p>
    <w:p>
      <w:pPr>
        <w:spacing w:after="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86175"/>
                    </a:xfrm>
                    <a:prstGeom prst="rect">
                      <a:avLst/>
                    </a:prstGeom>
                  </pic:spPr>
                </pic:pic>
              </a:graphicData>
            </a:graphic>
          </wp:inline>
        </w:drawing>
      </w:r>
    </w:p>
    <w:p>
      <w:pPr>
        <w:pStyle w:val="Heading1"/>
        <w:spacing w:after="120" w:before="200"/>
      </w:pPr>
      <w:r>
        <w:t xml:space="preserve">3. Shopping Channel &amp; Customer Engagement Analysis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2100"/>
            <w:shd w:fill="2E5C8A"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900"/>
            <w:shd w:fill="2E5C8A" w:val="clear"/>
            <w:tcMar>
              <w:top w:type="dxa" w:w="60"/>
              <w:left w:type="dxa" w:w="100"/>
              <w:bottom w:type="dxa" w:w="60"/>
              <w:right w:type="dxa" w:w="100"/>
            </w:tcMar>
            <w:vAlign w:val="center"/>
          </w:tcPr>
          <w:p>
            <w:pPr>
              <w:jc w:val="left"/>
            </w:pPr>
            <w:r>
              <w:rPr>
                <w:b/>
                <w:bCs/>
                <w:color w:val="FFFFFF"/>
                <w:sz w:val="19"/>
                <w:szCs w:val="19"/>
              </w:rPr>
              <w:t xml:space="preserve">Web Purch.</w:t>
            </w:r>
          </w:p>
        </w:tc>
        <w:tc>
          <w:tcPr>
            <w:tcW w:type="dxa" w:w="1000"/>
            <w:shd w:fill="2E5C8A" w:val="clear"/>
            <w:tcMar>
              <w:top w:type="dxa" w:w="60"/>
              <w:left w:type="dxa" w:w="100"/>
              <w:bottom w:type="dxa" w:w="60"/>
              <w:right w:type="dxa" w:w="100"/>
            </w:tcMar>
            <w:vAlign w:val="center"/>
          </w:tcPr>
          <w:p>
            <w:pPr>
              <w:jc w:val="left"/>
            </w:pPr>
            <w:r>
              <w:rPr>
                <w:b/>
                <w:bCs/>
                <w:color w:val="FFFFFF"/>
                <w:sz w:val="19"/>
                <w:szCs w:val="19"/>
              </w:rPr>
              <w:t xml:space="preserve">Catalog Purch.</w:t>
            </w:r>
          </w:p>
        </w:tc>
        <w:tc>
          <w:tcPr>
            <w:tcW w:type="dxa" w:w="900"/>
            <w:shd w:fill="2E5C8A" w:val="clear"/>
            <w:tcMar>
              <w:top w:type="dxa" w:w="60"/>
              <w:left w:type="dxa" w:w="100"/>
              <w:bottom w:type="dxa" w:w="60"/>
              <w:right w:type="dxa" w:w="100"/>
            </w:tcMar>
            <w:vAlign w:val="center"/>
          </w:tcPr>
          <w:p>
            <w:pPr>
              <w:jc w:val="left"/>
            </w:pPr>
            <w:r>
              <w:rPr>
                <w:b/>
                <w:bCs/>
                <w:color w:val="FFFFFF"/>
                <w:sz w:val="19"/>
                <w:szCs w:val="19"/>
              </w:rPr>
              <w:t xml:space="preserve">Store Purch.</w:t>
            </w:r>
          </w:p>
        </w:tc>
        <w:tc>
          <w:tcPr>
            <w:tcW w:type="dxa" w:w="900"/>
            <w:shd w:fill="2E5C8A" w:val="clear"/>
            <w:tcMar>
              <w:top w:type="dxa" w:w="60"/>
              <w:left w:type="dxa" w:w="100"/>
              <w:bottom w:type="dxa" w:w="60"/>
              <w:right w:type="dxa" w:w="100"/>
            </w:tcMar>
            <w:vAlign w:val="center"/>
          </w:tcPr>
          <w:p>
            <w:pPr>
              <w:jc w:val="left"/>
            </w:pPr>
            <w:r>
              <w:rPr>
                <w:b/>
                <w:bCs/>
                <w:color w:val="FFFFFF"/>
                <w:sz w:val="19"/>
                <w:szCs w:val="19"/>
              </w:rPr>
              <w:t xml:space="preserve">Deals Purch.</w:t>
            </w:r>
          </w:p>
        </w:tc>
        <w:tc>
          <w:tcPr>
            <w:tcW w:type="dxa" w:w="1000"/>
            <w:shd w:fill="2E5C8A" w:val="clear"/>
            <w:tcMar>
              <w:top w:type="dxa" w:w="60"/>
              <w:left w:type="dxa" w:w="100"/>
              <w:bottom w:type="dxa" w:w="60"/>
              <w:right w:type="dxa" w:w="100"/>
            </w:tcMar>
            <w:vAlign w:val="center"/>
          </w:tcPr>
          <w:p>
            <w:pPr>
              <w:jc w:val="left"/>
            </w:pPr>
            <w:r>
              <w:rPr>
                <w:b/>
                <w:bCs/>
                <w:color w:val="FFFFFF"/>
                <w:sz w:val="19"/>
                <w:szCs w:val="19"/>
              </w:rPr>
              <w:t xml:space="preserve">Web Visits/mo</w:t>
            </w:r>
          </w:p>
        </w:tc>
        <w:tc>
          <w:tcPr>
            <w:tcW w:type="dxa" w:w="1000"/>
            <w:shd w:fill="2E5C8A" w:val="clear"/>
            <w:tcMar>
              <w:top w:type="dxa" w:w="60"/>
              <w:left w:type="dxa" w:w="100"/>
              <w:bottom w:type="dxa" w:w="60"/>
              <w:right w:type="dxa" w:w="100"/>
            </w:tcMar>
            <w:vAlign w:val="center"/>
          </w:tcPr>
          <w:p>
            <w:pPr>
              <w:jc w:val="left"/>
            </w:pPr>
            <w:r>
              <w:rPr>
                <w:b/>
                <w:bCs/>
                <w:color w:val="FFFFFF"/>
                <w:sz w:val="19"/>
                <w:szCs w:val="19"/>
              </w:rPr>
              <w:t xml:space="preserve">Avg Recency (days)</w:t>
            </w:r>
          </w:p>
        </w:tc>
      </w:tr>
      <w:tr>
        <w:trPr>
          <w:cantSplit/>
        </w:trPr>
        <w:tc>
          <w:tcPr>
            <w:tcW w:type="dxa" w:w="2100"/>
            <w:tcMar>
              <w:top w:type="dxa" w:w="60"/>
              <w:left w:type="dxa" w:w="100"/>
              <w:bottom w:type="dxa" w:w="60"/>
              <w:right w:type="dxa" w:w="100"/>
            </w:tcMar>
            <w:vAlign w:val="center"/>
          </w:tcPr>
          <w:p>
            <w:pPr>
              <w:jc w:val="left"/>
            </w:pPr>
            <w:r>
              <w:rPr>
                <w:b w:val="false"/>
                <w:bCs w:val="false"/>
                <w:sz w:val="19"/>
                <w:szCs w:val="19"/>
              </w:rPr>
              <w:t xml:space="preserve">Premium Loyal</w:t>
            </w:r>
          </w:p>
        </w:tc>
        <w:tc>
          <w:tcPr>
            <w:tcW w:type="dxa" w:w="900"/>
            <w:tcMar>
              <w:top w:type="dxa" w:w="60"/>
              <w:left w:type="dxa" w:w="100"/>
              <w:bottom w:type="dxa" w:w="60"/>
              <w:right w:type="dxa" w:w="100"/>
            </w:tcMar>
            <w:vAlign w:val="center"/>
          </w:tcPr>
          <w:p>
            <w:pPr>
              <w:jc w:val="left"/>
            </w:pPr>
            <w:r>
              <w:rPr>
                <w:b w:val="false"/>
                <w:bCs w:val="false"/>
                <w:sz w:val="19"/>
                <w:szCs w:val="19"/>
              </w:rPr>
              <w:t xml:space="preserve">5.2</w:t>
            </w:r>
          </w:p>
        </w:tc>
        <w:tc>
          <w:tcPr>
            <w:tcW w:type="dxa" w:w="1000"/>
            <w:tcMar>
              <w:top w:type="dxa" w:w="60"/>
              <w:left w:type="dxa" w:w="100"/>
              <w:bottom w:type="dxa" w:w="60"/>
              <w:right w:type="dxa" w:w="100"/>
            </w:tcMar>
            <w:vAlign w:val="center"/>
          </w:tcPr>
          <w:p>
            <w:pPr>
              <w:jc w:val="left"/>
            </w:pPr>
            <w:r>
              <w:rPr>
                <w:b w:val="false"/>
                <w:bCs w:val="false"/>
                <w:sz w:val="19"/>
                <w:szCs w:val="19"/>
              </w:rPr>
              <w:t xml:space="preserve">6.3</w:t>
            </w:r>
          </w:p>
        </w:tc>
        <w:tc>
          <w:tcPr>
            <w:tcW w:type="dxa" w:w="900"/>
            <w:tcMar>
              <w:top w:type="dxa" w:w="60"/>
              <w:left w:type="dxa" w:w="100"/>
              <w:bottom w:type="dxa" w:w="60"/>
              <w:right w:type="dxa" w:w="100"/>
            </w:tcMar>
            <w:vAlign w:val="center"/>
          </w:tcPr>
          <w:p>
            <w:pPr>
              <w:jc w:val="left"/>
            </w:pPr>
            <w:r>
              <w:rPr>
                <w:b w:val="false"/>
                <w:bCs w:val="false"/>
                <w:sz w:val="19"/>
                <w:szCs w:val="19"/>
              </w:rPr>
              <w:t xml:space="preserve">8</w:t>
            </w:r>
          </w:p>
        </w:tc>
        <w:tc>
          <w:tcPr>
            <w:tcW w:type="dxa" w:w="900"/>
            <w:tcMar>
              <w:top w:type="dxa" w:w="60"/>
              <w:left w:type="dxa" w:w="100"/>
              <w:bottom w:type="dxa" w:w="60"/>
              <w:right w:type="dxa" w:w="100"/>
            </w:tcMar>
            <w:vAlign w:val="center"/>
          </w:tcPr>
          <w:p>
            <w:pPr>
              <w:jc w:val="left"/>
            </w:pPr>
            <w:r>
              <w:rPr>
                <w:b w:val="false"/>
                <w:bCs w:val="false"/>
                <w:sz w:val="19"/>
                <w:szCs w:val="19"/>
              </w:rPr>
              <w:t xml:space="preserve">1.4</w:t>
            </w:r>
          </w:p>
        </w:tc>
        <w:tc>
          <w:tcPr>
            <w:tcW w:type="dxa" w:w="1000"/>
            <w:tcMar>
              <w:top w:type="dxa" w:w="60"/>
              <w:left w:type="dxa" w:w="100"/>
              <w:bottom w:type="dxa" w:w="60"/>
              <w:right w:type="dxa" w:w="100"/>
            </w:tcMar>
            <w:vAlign w:val="center"/>
          </w:tcPr>
          <w:p>
            <w:pPr>
              <w:jc w:val="left"/>
            </w:pPr>
            <w:r>
              <w:rPr>
                <w:b w:val="false"/>
                <w:bCs w:val="false"/>
                <w:sz w:val="19"/>
                <w:szCs w:val="19"/>
              </w:rPr>
              <w:t xml:space="preserve">2.9</w:t>
            </w:r>
          </w:p>
        </w:tc>
        <w:tc>
          <w:tcPr>
            <w:tcW w:type="dxa" w:w="1000"/>
            <w:tcMar>
              <w:top w:type="dxa" w:w="60"/>
              <w:left w:type="dxa" w:w="100"/>
              <w:bottom w:type="dxa" w:w="60"/>
              <w:right w:type="dxa" w:w="100"/>
            </w:tcMar>
            <w:vAlign w:val="center"/>
          </w:tcPr>
          <w:p>
            <w:pPr>
              <w:jc w:val="left"/>
            </w:pPr>
            <w:r>
              <w:rPr>
                <w:b w:val="false"/>
                <w:bCs w:val="false"/>
                <w:sz w:val="19"/>
                <w:szCs w:val="19"/>
              </w:rPr>
              <w:t xml:space="preserve">25.3</w:t>
            </w:r>
          </w:p>
        </w:tc>
      </w:tr>
      <w:tr>
        <w:trPr>
          <w:cantSplit/>
        </w:trPr>
        <w:tc>
          <w:tcPr>
            <w:tcW w:type="dxa" w:w="2100"/>
            <w:shd w:fill="EAF1F8" w:val="clear"/>
            <w:tcMar>
              <w:top w:type="dxa" w:w="60"/>
              <w:left w:type="dxa" w:w="100"/>
              <w:bottom w:type="dxa" w:w="60"/>
              <w:right w:type="dxa" w:w="100"/>
            </w:tcMar>
            <w:vAlign w:val="center"/>
          </w:tcPr>
          <w:p>
            <w:pPr>
              <w:jc w:val="left"/>
            </w:pPr>
            <w:r>
              <w:rPr>
                <w:b w:val="false"/>
                <w:bCs w:val="false"/>
                <w:sz w:val="19"/>
                <w:szCs w:val="19"/>
              </w:rPr>
              <w:t xml:space="preserve">Digital-First Deal Seekers</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6.4</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0.9</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2.7</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5.1</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7</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47</w:t>
            </w:r>
          </w:p>
        </w:tc>
      </w:tr>
      <w:tr>
        <w:trPr>
          <w:cantSplit/>
        </w:trPr>
        <w:tc>
          <w:tcPr>
            <w:tcW w:type="dxa" w:w="2100"/>
            <w:tcMar>
              <w:top w:type="dxa" w:w="60"/>
              <w:left w:type="dxa" w:w="100"/>
              <w:bottom w:type="dxa" w:w="60"/>
              <w:right w:type="dxa" w:w="100"/>
            </w:tcMar>
            <w:vAlign w:val="center"/>
          </w:tcPr>
          <w:p>
            <w:pPr>
              <w:jc w:val="left"/>
            </w:pPr>
            <w:r>
              <w:rPr>
                <w:b w:val="false"/>
                <w:bCs w:val="false"/>
                <w:sz w:val="19"/>
                <w:szCs w:val="19"/>
              </w:rPr>
              <w:t xml:space="preserve">Low-Value Inactive</w:t>
            </w:r>
          </w:p>
        </w:tc>
        <w:tc>
          <w:tcPr>
            <w:tcW w:type="dxa" w:w="900"/>
            <w:tcMar>
              <w:top w:type="dxa" w:w="60"/>
              <w:left w:type="dxa" w:w="100"/>
              <w:bottom w:type="dxa" w:w="60"/>
              <w:right w:type="dxa" w:w="100"/>
            </w:tcMar>
            <w:vAlign w:val="center"/>
          </w:tcPr>
          <w:p>
            <w:pPr>
              <w:jc w:val="left"/>
            </w:pPr>
            <w:r>
              <w:rPr>
                <w:b w:val="false"/>
                <w:bCs w:val="false"/>
                <w:sz w:val="19"/>
                <w:szCs w:val="19"/>
              </w:rPr>
              <w:t xml:space="preserve">1.8</w:t>
            </w:r>
          </w:p>
        </w:tc>
        <w:tc>
          <w:tcPr>
            <w:tcW w:type="dxa" w:w="1000"/>
            <w:tcMar>
              <w:top w:type="dxa" w:w="60"/>
              <w:left w:type="dxa" w:w="100"/>
              <w:bottom w:type="dxa" w:w="60"/>
              <w:right w:type="dxa" w:w="100"/>
            </w:tcMar>
            <w:vAlign w:val="center"/>
          </w:tcPr>
          <w:p>
            <w:pPr>
              <w:jc w:val="left"/>
            </w:pPr>
            <w:r>
              <w:rPr>
                <w:b w:val="false"/>
                <w:bCs w:val="false"/>
                <w:sz w:val="19"/>
                <w:szCs w:val="19"/>
              </w:rPr>
              <w:t xml:space="preserve">0.5</w:t>
            </w:r>
          </w:p>
        </w:tc>
        <w:tc>
          <w:tcPr>
            <w:tcW w:type="dxa" w:w="900"/>
            <w:tcMar>
              <w:top w:type="dxa" w:w="60"/>
              <w:left w:type="dxa" w:w="100"/>
              <w:bottom w:type="dxa" w:w="60"/>
              <w:right w:type="dxa" w:w="100"/>
            </w:tcMar>
            <w:vAlign w:val="center"/>
          </w:tcPr>
          <w:p>
            <w:pPr>
              <w:jc w:val="left"/>
            </w:pPr>
            <w:r>
              <w:rPr>
                <w:b w:val="false"/>
                <w:bCs w:val="false"/>
                <w:sz w:val="19"/>
                <w:szCs w:val="19"/>
              </w:rPr>
              <w:t xml:space="preserve">2.4</w:t>
            </w:r>
          </w:p>
        </w:tc>
        <w:tc>
          <w:tcPr>
            <w:tcW w:type="dxa" w:w="900"/>
            <w:tcMar>
              <w:top w:type="dxa" w:w="60"/>
              <w:left w:type="dxa" w:w="100"/>
              <w:bottom w:type="dxa" w:w="60"/>
              <w:right w:type="dxa" w:w="100"/>
            </w:tcMar>
            <w:vAlign w:val="center"/>
          </w:tcPr>
          <w:p>
            <w:pPr>
              <w:jc w:val="left"/>
            </w:pPr>
            <w:r>
              <w:rPr>
                <w:b w:val="false"/>
                <w:bCs w:val="false"/>
                <w:sz w:val="19"/>
                <w:szCs w:val="19"/>
              </w:rPr>
              <w:t xml:space="preserve">1.2</w:t>
            </w:r>
          </w:p>
        </w:tc>
        <w:tc>
          <w:tcPr>
            <w:tcW w:type="dxa" w:w="1000"/>
            <w:tcMar>
              <w:top w:type="dxa" w:w="60"/>
              <w:left w:type="dxa" w:w="100"/>
              <w:bottom w:type="dxa" w:w="60"/>
              <w:right w:type="dxa" w:w="100"/>
            </w:tcMar>
            <w:vAlign w:val="center"/>
          </w:tcPr>
          <w:p>
            <w:pPr>
              <w:jc w:val="left"/>
            </w:pPr>
            <w:r>
              <w:rPr>
                <w:b w:val="false"/>
                <w:bCs w:val="false"/>
                <w:sz w:val="19"/>
                <w:szCs w:val="19"/>
              </w:rPr>
              <w:t xml:space="preserve">5</w:t>
            </w:r>
          </w:p>
        </w:tc>
        <w:tc>
          <w:tcPr>
            <w:tcW w:type="dxa" w:w="1000"/>
            <w:tcMar>
              <w:top w:type="dxa" w:w="60"/>
              <w:left w:type="dxa" w:w="100"/>
              <w:bottom w:type="dxa" w:w="60"/>
              <w:right w:type="dxa" w:w="100"/>
            </w:tcMar>
            <w:vAlign w:val="center"/>
          </w:tcPr>
          <w:p>
            <w:pPr>
              <w:jc w:val="left"/>
            </w:pPr>
            <w:r>
              <w:rPr>
                <w:b w:val="false"/>
                <w:bCs w:val="false"/>
                <w:sz w:val="19"/>
                <w:szCs w:val="19"/>
              </w:rPr>
              <w:t xml:space="preserve">54.6</w:t>
            </w:r>
          </w:p>
        </w:tc>
      </w:tr>
      <w:tr>
        <w:trPr>
          <w:cantSplit/>
        </w:trPr>
        <w:tc>
          <w:tcPr>
            <w:tcW w:type="dxa" w:w="2100"/>
            <w:shd w:fill="EAF1F8" w:val="clear"/>
            <w:tcMar>
              <w:top w:type="dxa" w:w="60"/>
              <w:left w:type="dxa" w:w="100"/>
              <w:bottom w:type="dxa" w:w="60"/>
              <w:right w:type="dxa" w:w="100"/>
            </w:tcMar>
            <w:vAlign w:val="center"/>
          </w:tcPr>
          <w:p>
            <w:pPr>
              <w:jc w:val="left"/>
            </w:pPr>
            <w:r>
              <w:rPr>
                <w:b w:val="false"/>
                <w:bCs w:val="false"/>
                <w:sz w:val="19"/>
                <w:szCs w:val="19"/>
              </w:rPr>
              <w:t xml:space="preserve">Store-Oriented Traditional</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2.6</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7.3</w:t>
            </w:r>
          </w:p>
        </w:tc>
        <w:tc>
          <w:tcPr>
            <w:tcW w:type="dxa" w:w="900"/>
            <w:shd w:fill="EAF1F8" w:val="clear"/>
            <w:tcMar>
              <w:top w:type="dxa" w:w="60"/>
              <w:left w:type="dxa" w:w="100"/>
              <w:bottom w:type="dxa" w:w="60"/>
              <w:right w:type="dxa" w:w="100"/>
            </w:tcMar>
            <w:vAlign w:val="center"/>
          </w:tcPr>
          <w:p>
            <w:pPr>
              <w:jc w:val="left"/>
            </w:pPr>
            <w:r>
              <w:rPr>
                <w:b w:val="false"/>
                <w:bCs w:val="false"/>
                <w:sz w:val="19"/>
                <w:szCs w:val="19"/>
              </w:rPr>
              <w:t xml:space="preserve">2.1</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1000"/>
            <w:shd w:fill="EAF1F8" w:val="clear"/>
            <w:tcMar>
              <w:top w:type="dxa" w:w="60"/>
              <w:left w:type="dxa" w:w="100"/>
              <w:bottom w:type="dxa" w:w="60"/>
              <w:right w:type="dxa" w:w="100"/>
            </w:tcMar>
            <w:vAlign w:val="center"/>
          </w:tcPr>
          <w:p>
            <w:pPr>
              <w:jc w:val="left"/>
            </w:pPr>
            <w:r>
              <w:rPr>
                <w:b w:val="false"/>
                <w:bCs w:val="false"/>
                <w:sz w:val="19"/>
                <w:szCs w:val="19"/>
              </w:rPr>
              <w:t xml:space="preserve">32.6</w:t>
            </w:r>
          </w:p>
        </w:tc>
      </w:tr>
    </w:tbl>
    <w:p>
      <w:pPr>
        <w:spacing w:after="150"/>
      </w:pPr>
    </w:p>
    <w:p>
      <w:pPr>
        <w:spacing w:after="120"/>
      </w:pPr>
      <w:r>
        <w:t xml:space="preserve">Digital-First Deal Seekers are the clearest digital-first group (highest web purchases and web visits, lowest catalog use). Store-Oriented Traditional Customers are the most store-oriented (7.3 average store purchases vs. only 2.6 web purchases). Premium Loyal Customers lean on catalog purchases more than any other segment. Digital-First Deal Seekers also lead on deal-seeking behavior (5.1 deal purchases/period). By recency, Premium Loyal Customers are the most recently active (25.3 days on average) and Low-Value Inactive Customers the least active (54.6 days).</w:t>
      </w:r>
    </w:p>
    <w:p>
      <w:pPr>
        <w:pStyle w:val="Heading3"/>
        <w:spacing w:after="80" w:before="160"/>
      </w:pPr>
      <w:r>
        <w:t xml:space="preserve">Channel Comparison</w:t>
      </w:r>
    </w:p>
    <w:p>
      <w:pPr>
        <w:spacing w:after="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57575"/>
                    </a:xfrm>
                    <a:prstGeom prst="rect">
                      <a:avLst/>
                    </a:prstGeom>
                  </pic:spPr>
                </pic:pic>
              </a:graphicData>
            </a:graphic>
          </wp:inline>
        </w:drawing>
      </w:r>
    </w:p>
    <w:p>
      <w:pPr>
        <w:pStyle w:val="Heading3"/>
        <w:spacing w:after="80" w:before="160"/>
      </w:pPr>
      <w:r>
        <w:t xml:space="preserve">Recency Comparison</w:t>
      </w:r>
    </w:p>
    <w:p>
      <w:pPr>
        <w:spacing w:after="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43350"/>
                    </a:xfrm>
                    <a:prstGeom prst="rect">
                      <a:avLst/>
                    </a:prstGeom>
                  </pic:spPr>
                </pic:pic>
              </a:graphicData>
            </a:graphic>
          </wp:inline>
        </w:drawing>
      </w:r>
    </w:p>
    <w:p>
      <w:pPr>
        <w:pStyle w:val="Heading1"/>
        <w:spacing w:after="120" w:before="200"/>
      </w:pPr>
      <w:r>
        <w:t xml:space="preserve">4. Marketing Campaign Analysis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0"/>
            <w:shd w:fill="2E5C8A"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2200"/>
            <w:shd w:fill="2E5C8A" w:val="clear"/>
            <w:tcMar>
              <w:top w:type="dxa" w:w="60"/>
              <w:left w:type="dxa" w:w="100"/>
              <w:bottom w:type="dxa" w:w="60"/>
              <w:right w:type="dxa" w:w="100"/>
            </w:tcMar>
            <w:vAlign w:val="center"/>
          </w:tcPr>
          <w:p>
            <w:pPr>
              <w:jc w:val="left"/>
            </w:pPr>
            <w:r>
              <w:rPr>
                <w:b/>
                <w:bCs/>
                <w:color w:val="FFFFFF"/>
                <w:sz w:val="19"/>
                <w:szCs w:val="19"/>
              </w:rPr>
              <w:t xml:space="preserve">Avg Campaigns Accepted (of 6)</w:t>
            </w:r>
          </w:p>
        </w:tc>
        <w:tc>
          <w:tcPr>
            <w:tcW w:type="dxa" w:w="2000"/>
            <w:shd w:fill="2E5C8A" w:val="clear"/>
            <w:tcMar>
              <w:top w:type="dxa" w:w="60"/>
              <w:left w:type="dxa" w:w="100"/>
              <w:bottom w:type="dxa" w:w="60"/>
              <w:right w:type="dxa" w:w="100"/>
            </w:tcMar>
            <w:vAlign w:val="center"/>
          </w:tcPr>
          <w:p>
            <w:pPr>
              <w:jc w:val="left"/>
            </w:pPr>
            <w:r>
              <w:rPr>
                <w:b/>
                <w:bCs/>
                <w:color w:val="FFFFFF"/>
                <w:sz w:val="19"/>
                <w:szCs w:val="19"/>
              </w:rPr>
              <w:t xml:space="preserve">Final Campaign Response</w:t>
            </w:r>
          </w:p>
        </w:tc>
        <w:tc>
          <w:tcPr>
            <w:tcW w:type="dxa" w:w="1800"/>
            <w:shd w:fill="2E5C8A" w:val="clear"/>
            <w:tcMar>
              <w:top w:type="dxa" w:w="60"/>
              <w:left w:type="dxa" w:w="100"/>
              <w:bottom w:type="dxa" w:w="60"/>
              <w:right w:type="dxa" w:w="100"/>
            </w:tcMar>
            <w:vAlign w:val="center"/>
          </w:tcPr>
          <w:p>
            <w:pPr>
              <w:jc w:val="left"/>
            </w:pPr>
            <w:r>
              <w:rPr>
                <w:b/>
                <w:bCs/>
                <w:color w:val="FFFFFF"/>
                <w:sz w:val="19"/>
                <w:szCs w:val="19"/>
              </w:rPr>
              <w:t xml:space="preserve">Complaint Rate</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Premium Loyal</w:t>
            </w:r>
          </w:p>
        </w:tc>
        <w:tc>
          <w:tcPr>
            <w:tcW w:type="dxa" w:w="2200"/>
            <w:tcMar>
              <w:top w:type="dxa" w:w="60"/>
              <w:left w:type="dxa" w:w="100"/>
              <w:bottom w:type="dxa" w:w="60"/>
              <w:right w:type="dxa" w:w="100"/>
            </w:tcMar>
            <w:vAlign w:val="center"/>
          </w:tcPr>
          <w:p>
            <w:pPr>
              <w:jc w:val="left"/>
            </w:pPr>
            <w:r>
              <w:rPr>
                <w:b w:val="false"/>
                <w:bCs w:val="false"/>
                <w:sz w:val="19"/>
                <w:szCs w:val="19"/>
              </w:rPr>
              <w:t xml:space="preserve">2</w:t>
            </w:r>
          </w:p>
        </w:tc>
        <w:tc>
          <w:tcPr>
            <w:tcW w:type="dxa" w:w="2000"/>
            <w:tcMar>
              <w:top w:type="dxa" w:w="60"/>
              <w:left w:type="dxa" w:w="100"/>
              <w:bottom w:type="dxa" w:w="60"/>
              <w:right w:type="dxa" w:w="100"/>
            </w:tcMar>
            <w:vAlign w:val="center"/>
          </w:tcPr>
          <w:p>
            <w:pPr>
              <w:jc w:val="left"/>
            </w:pPr>
            <w:r>
              <w:rPr>
                <w:b w:val="false"/>
                <w:bCs w:val="false"/>
                <w:sz w:val="19"/>
                <w:szCs w:val="19"/>
              </w:rPr>
              <w:t xml:space="preserve">40.3%</w:t>
            </w:r>
          </w:p>
        </w:tc>
        <w:tc>
          <w:tcPr>
            <w:tcW w:type="dxa" w:w="1800"/>
            <w:tcMar>
              <w:top w:type="dxa" w:w="60"/>
              <w:left w:type="dxa" w:w="100"/>
              <w:bottom w:type="dxa" w:w="60"/>
              <w:right w:type="dxa" w:w="100"/>
            </w:tcMar>
            <w:vAlign w:val="center"/>
          </w:tcPr>
          <w:p>
            <w:pPr>
              <w:jc w:val="left"/>
            </w:pPr>
            <w:r>
              <w:rPr>
                <w:b w:val="false"/>
                <w:bCs w:val="false"/>
                <w:sz w:val="19"/>
                <w:szCs w:val="19"/>
              </w:rPr>
              <w:t xml:space="preserve">1.6%</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Digital-First Deal Seekers</w:t>
            </w:r>
          </w:p>
        </w:tc>
        <w:tc>
          <w:tcPr>
            <w:tcW w:type="dxa" w:w="2200"/>
            <w:shd w:fill="EAF1F8" w:val="clear"/>
            <w:tcMar>
              <w:top w:type="dxa" w:w="60"/>
              <w:left w:type="dxa" w:w="100"/>
              <w:bottom w:type="dxa" w:w="60"/>
              <w:right w:type="dxa" w:w="100"/>
            </w:tcMar>
            <w:vAlign w:val="center"/>
          </w:tcPr>
          <w:p>
            <w:pPr>
              <w:jc w:val="left"/>
            </w:pPr>
            <w:r>
              <w:rPr>
                <w:b w:val="false"/>
                <w:bCs w:val="false"/>
                <w:sz w:val="19"/>
                <w:szCs w:val="19"/>
              </w:rPr>
              <w:t xml:space="preserve">0.5</w:t>
            </w:r>
          </w:p>
        </w:tc>
        <w:tc>
          <w:tcPr>
            <w:tcW w:type="dxa" w:w="2000"/>
            <w:shd w:fill="EAF1F8" w:val="clear"/>
            <w:tcMar>
              <w:top w:type="dxa" w:w="60"/>
              <w:left w:type="dxa" w:w="100"/>
              <w:bottom w:type="dxa" w:w="60"/>
              <w:right w:type="dxa" w:w="100"/>
            </w:tcMar>
            <w:vAlign w:val="center"/>
          </w:tcPr>
          <w:p>
            <w:pPr>
              <w:jc w:val="left"/>
            </w:pPr>
            <w:r>
              <w:rPr>
                <w:b w:val="false"/>
                <w:bCs w:val="false"/>
                <w:sz w:val="19"/>
                <w:szCs w:val="19"/>
              </w:rPr>
              <w:t xml:space="preserve">15.6%</w:t>
            </w:r>
          </w:p>
        </w:tc>
        <w:tc>
          <w:tcPr>
            <w:tcW w:type="dxa" w:w="1800"/>
            <w:shd w:fill="EAF1F8" w:val="clear"/>
            <w:tcMar>
              <w:top w:type="dxa" w:w="60"/>
              <w:left w:type="dxa" w:w="100"/>
              <w:bottom w:type="dxa" w:w="60"/>
              <w:right w:type="dxa" w:w="100"/>
            </w:tcMar>
            <w:vAlign w:val="center"/>
          </w:tcPr>
          <w:p>
            <w:pPr>
              <w:jc w:val="left"/>
            </w:pPr>
            <w:r>
              <w:rPr>
                <w:b w:val="false"/>
                <w:bCs w:val="false"/>
                <w:sz w:val="19"/>
                <w:szCs w:val="19"/>
              </w:rPr>
              <w:t xml:space="preserve">0.6%</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Low-Value Inactive</w:t>
            </w:r>
          </w:p>
        </w:tc>
        <w:tc>
          <w:tcPr>
            <w:tcW w:type="dxa" w:w="2200"/>
            <w:tcMar>
              <w:top w:type="dxa" w:w="60"/>
              <w:left w:type="dxa" w:w="100"/>
              <w:bottom w:type="dxa" w:w="60"/>
              <w:right w:type="dxa" w:w="100"/>
            </w:tcMar>
            <w:vAlign w:val="center"/>
          </w:tcPr>
          <w:p>
            <w:pPr>
              <w:jc w:val="left"/>
            </w:pPr>
            <w:r>
              <w:rPr>
                <w:b w:val="false"/>
                <w:bCs w:val="false"/>
                <w:sz w:val="19"/>
                <w:szCs w:val="19"/>
              </w:rPr>
              <w:t xml:space="preserve">0.2</w:t>
            </w:r>
          </w:p>
        </w:tc>
        <w:tc>
          <w:tcPr>
            <w:tcW w:type="dxa" w:w="2000"/>
            <w:tcMar>
              <w:top w:type="dxa" w:w="60"/>
              <w:left w:type="dxa" w:w="100"/>
              <w:bottom w:type="dxa" w:w="60"/>
              <w:right w:type="dxa" w:w="100"/>
            </w:tcMar>
            <w:vAlign w:val="center"/>
          </w:tcPr>
          <w:p>
            <w:pPr>
              <w:jc w:val="left"/>
            </w:pPr>
            <w:r>
              <w:rPr>
                <w:b w:val="false"/>
                <w:bCs w:val="false"/>
                <w:sz w:val="19"/>
                <w:szCs w:val="19"/>
              </w:rPr>
              <w:t xml:space="preserve">8%</w:t>
            </w:r>
          </w:p>
        </w:tc>
        <w:tc>
          <w:tcPr>
            <w:tcW w:type="dxa" w:w="1800"/>
            <w:tcMar>
              <w:top w:type="dxa" w:w="60"/>
              <w:left w:type="dxa" w:w="100"/>
              <w:bottom w:type="dxa" w:w="60"/>
              <w:right w:type="dxa" w:w="100"/>
            </w:tcMar>
            <w:vAlign w:val="center"/>
          </w:tcPr>
          <w:p>
            <w:pPr>
              <w:jc w:val="left"/>
            </w:pPr>
            <w:r>
              <w:rPr>
                <w:b w:val="false"/>
                <w:bCs w:val="false"/>
                <w:sz w:val="19"/>
                <w:szCs w:val="19"/>
              </w:rPr>
              <w:t xml:space="preserve">1.9%</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Store-Oriented Traditional</w:t>
            </w:r>
          </w:p>
        </w:tc>
        <w:tc>
          <w:tcPr>
            <w:tcW w:type="dxa" w:w="2200"/>
            <w:shd w:fill="EAF1F8" w:val="clear"/>
            <w:tcMar>
              <w:top w:type="dxa" w:w="60"/>
              <w:left w:type="dxa" w:w="100"/>
              <w:bottom w:type="dxa" w:w="60"/>
              <w:right w:type="dxa" w:w="100"/>
            </w:tcMar>
            <w:vAlign w:val="center"/>
          </w:tcPr>
          <w:p>
            <w:pPr>
              <w:jc w:val="left"/>
            </w:pPr>
            <w:r>
              <w:rPr>
                <w:b w:val="false"/>
                <w:bCs w:val="false"/>
                <w:sz w:val="19"/>
                <w:szCs w:val="19"/>
              </w:rPr>
              <w:t xml:space="preserve">0.7</w:t>
            </w:r>
          </w:p>
        </w:tc>
        <w:tc>
          <w:tcPr>
            <w:tcW w:type="dxa" w:w="2000"/>
            <w:shd w:fill="EAF1F8" w:val="clear"/>
            <w:tcMar>
              <w:top w:type="dxa" w:w="60"/>
              <w:left w:type="dxa" w:w="100"/>
              <w:bottom w:type="dxa" w:w="60"/>
              <w:right w:type="dxa" w:w="100"/>
            </w:tcMar>
            <w:vAlign w:val="center"/>
          </w:tcPr>
          <w:p>
            <w:pPr>
              <w:jc w:val="left"/>
            </w:pPr>
            <w:r>
              <w:rPr>
                <w:b w:val="false"/>
                <w:bCs w:val="false"/>
                <w:sz w:val="19"/>
                <w:szCs w:val="19"/>
              </w:rPr>
              <w:t xml:space="preserve">18.4%</w:t>
            </w:r>
          </w:p>
        </w:tc>
        <w:tc>
          <w:tcPr>
            <w:tcW w:type="dxa" w:w="1800"/>
            <w:shd w:fill="EAF1F8" w:val="clear"/>
            <w:tcMar>
              <w:top w:type="dxa" w:w="60"/>
              <w:left w:type="dxa" w:w="100"/>
              <w:bottom w:type="dxa" w:w="60"/>
              <w:right w:type="dxa" w:w="100"/>
            </w:tcMar>
            <w:vAlign w:val="center"/>
          </w:tcPr>
          <w:p>
            <w:pPr>
              <w:jc w:val="left"/>
            </w:pPr>
            <w:r>
              <w:rPr>
                <w:b w:val="false"/>
                <w:bCs w:val="false"/>
                <w:sz w:val="19"/>
                <w:szCs w:val="19"/>
              </w:rPr>
              <w:t xml:space="preserve">1.4%</w:t>
            </w:r>
          </w:p>
        </w:tc>
      </w:tr>
    </w:tbl>
    <w:p>
      <w:pPr>
        <w:spacing w:after="150"/>
      </w:pPr>
    </w:p>
    <w:p>
      <w:pPr>
        <w:spacing w:after="120"/>
      </w:pPr>
      <w:r>
        <w:t xml:space="preserve">Premium Loyal Customers are by far the most campaign-responsive group, accepting an average of 2 of 6 campaigns — roughly 4x the overall base rate. Low-Value Inactive Customers are the most marketing-resistant (0.2 campaigns accepted on average, 8% final response). A small group of otherwise decent past spenders who have gone quiet and accepted zero campaigns were flagged separately as re-engagement candidates, concentrated in the Store-Oriented and Digital-First segments.</w:t>
      </w:r>
    </w:p>
    <w:p>
      <w:pPr>
        <w:pStyle w:val="Heading3"/>
        <w:spacing w:after="80" w:before="160"/>
      </w:pPr>
      <w:r>
        <w:t xml:space="preserve">Campaign Response by Segment</w:t>
      </w:r>
    </w:p>
    <w:p>
      <w:pPr>
        <w:spacing w:after="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r>
        <w:br w:type="page"/>
      </w:r>
    </w:p>
    <w:p>
      <w:pPr>
        <w:pStyle w:val="Heading1"/>
        <w:spacing w:after="120" w:before="200"/>
      </w:pPr>
      <w:r>
        <w:t xml:space="preserve">5. Business Segmentation &amp; Cluster Naming</w:t>
      </w:r>
    </w:p>
    <w:p>
      <w:pPr>
        <w:pStyle w:val="Heading2"/>
        <w:spacing w:after="100" w:before="200"/>
      </w:pPr>
      <w:r>
        <w:t xml:space="preserve">Premium Loyal Customers (21.6% of customers)</w:t>
      </w:r>
    </w:p>
    <w:p>
      <w:pPr>
        <w:spacing w:after="120"/>
      </w:pPr>
      <w:r>
        <w:t xml:space="preserve">Highest income ($83.8K avg), by far the highest total spending ($1,390 avg — over 2.5x the overall average), and the strongest campaign engagement (2.0 campaigns accepted on average, 40% final-campaign response rate). They buy heavily across every product category, especially wine and meat, and split their purchases across catalog and in-store channels rather than the web.</w:t>
      </w:r>
    </w:p>
    <w:p>
      <w:pPr>
        <w:spacing w:after="180"/>
      </w:pPr>
      <w:r>
        <w:rPr>
          <w:b/>
          <w:bCs/>
        </w:rPr>
        <w:t xml:space="preserve">Recommended strategy: </w:t>
      </w:r>
      <w:r>
        <w:t xml:space="preserve">Protect and grow this segment with a loyalty/VIP program, early access to premium product lines, and personalized catalog offers. They respond well to campaigns, so they're a safe target for higher-margin, higher-frequency promotions.</w:t>
      </w:r>
    </w:p>
    <w:p>
      <w:pPr>
        <w:pStyle w:val="Heading2"/>
        <w:spacing w:after="100" w:before="200"/>
      </w:pPr>
      <w:r>
        <w:t xml:space="preserve">Digital-First Deal Seekers (26.8% of customers)</w:t>
      </w:r>
    </w:p>
    <w:p>
      <w:pPr>
        <w:spacing w:after="120"/>
      </w:pPr>
      <w:r>
        <w:t xml:space="preserve">Youngest segment (avg age 30), moderate income ($42.6K), and the most web-native shopping pattern (6.4 web purchases/month and 7.0 site visits/month — both the highest of any cluster) combined with the heaviest deal-seeking behavior (5.1 deal purchases). Spending is modest and campaign response is low (16%), suggesting price sensitivity over brand loyalty.</w:t>
      </w:r>
    </w:p>
    <w:p>
      <w:pPr>
        <w:spacing w:after="180"/>
      </w:pPr>
      <w:r>
        <w:rPr>
          <w:b/>
          <w:bCs/>
        </w:rPr>
        <w:t xml:space="preserve">Recommended strategy: </w:t>
      </w:r>
      <w:r>
        <w:t xml:space="preserve">Lead with digital channels: app-based discounts, flash sales, and referral incentives. Avoid catalog spend on this group — it doesn't convert. Consider a 'first purchase' or loyalty-points mechanic to build habit before they age into higher spending power.</w:t>
      </w:r>
    </w:p>
    <w:p>
      <w:pPr>
        <w:pStyle w:val="Heading2"/>
        <w:spacing w:after="100" w:before="200"/>
      </w:pPr>
      <w:r>
        <w:t xml:space="preserve">Low-Value Inactive Customers (27.1% of customers)</w:t>
      </w:r>
    </w:p>
    <w:p>
      <w:pPr>
        <w:spacing w:after="120"/>
      </w:pPr>
      <w:r>
        <w:t xml:space="preserve">Lowest income ($31.1K), lowest total spending ($133 avg — the smallest basket by a wide margin), longest average recency (54.6 days since last purchase), and the weakest campaign response of any segment (only 8% final response, 0.2 campaigns accepted on average). This is a low-engagement, low-value, largely inactive segment.</w:t>
      </w:r>
    </w:p>
    <w:p>
      <w:pPr>
        <w:spacing w:after="180"/>
      </w:pPr>
      <w:r>
        <w:rPr>
          <w:b/>
          <w:bCs/>
        </w:rPr>
        <w:t xml:space="preserve">Recommended strategy: </w:t>
      </w:r>
      <w:r>
        <w:t xml:space="preserve">Low-cost re-engagement only: occasional value-tier promotions or win-back emails. Not a priority for premium campaign spend — the acquisition cost is unlikely to be recovered given current spending patterns.</w:t>
      </w:r>
    </w:p>
    <w:p>
      <w:pPr>
        <w:pStyle w:val="Heading2"/>
        <w:spacing w:after="100" w:before="200"/>
      </w:pPr>
      <w:r>
        <w:t xml:space="preserve">Store-Oriented Traditional Customers (24.6% of customers)</w:t>
      </w:r>
    </w:p>
    <w:p>
      <w:pPr>
        <w:spacing w:after="120"/>
      </w:pPr>
      <w:r>
        <w:t xml:space="preserve">Older, established households (avg age 53, largest average family size at 3.0), moderate-to-good income ($56.1K), and a clear preference for in-store shopping (7.3 store purchases vs. only 2.6 web purchases). Spending is solid ($604 avg, driven by wine and meat) but campaign engagement is modest (18% response).</w:t>
      </w:r>
    </w:p>
    <w:p>
      <w:pPr>
        <w:spacing w:after="180"/>
      </w:pPr>
      <w:r>
        <w:rPr>
          <w:b/>
          <w:bCs/>
        </w:rPr>
        <w:t xml:space="preserve">Recommended strategy: </w:t>
      </w:r>
      <w:r>
        <w:t xml:space="preserve">In-store promotions, loyalty cards, and direct mail/catalog offers will outperform digital-only campaigns here. Bundle deals for families and seasonal in-store events are a natural fit given the household size and shopping preference.</w:t>
      </w:r>
    </w:p>
    <w:p>
      <w:pPr>
        <w:pStyle w:val="Heading1"/>
        <w:spacing w:after="120" w:before="200"/>
      </w:pPr>
      <w:r>
        <w:t xml:space="preserve">6. Customer Persona Development</w:t>
      </w:r>
    </w:p>
    <w:p>
      <w:pPr>
        <w:pStyle w:val="Heading2"/>
        <w:spacing w:after="100" w:before="200"/>
      </w:pPr>
      <w:r>
        <w:t xml:space="preserve">Patricia, the Premium Provider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600"/>
            <w:shd w:fill="2E5C8A"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600"/>
            <w:shd w:fill="2E5C8A"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Age Range</w:t>
            </w:r>
          </w:p>
        </w:tc>
        <w:tc>
          <w:tcPr>
            <w:tcW w:type="dxa" w:w="6600"/>
            <w:tcMar>
              <w:top w:type="dxa" w:w="60"/>
              <w:left w:type="dxa" w:w="100"/>
              <w:bottom w:type="dxa" w:w="60"/>
              <w:right w:type="dxa" w:w="100"/>
            </w:tcMar>
            <w:vAlign w:val="center"/>
          </w:tcPr>
          <w:p>
            <w:pPr>
              <w:jc w:val="left"/>
            </w:pPr>
            <w:r>
              <w:rPr>
                <w:b w:val="false"/>
                <w:bCs w:val="false"/>
                <w:sz w:val="19"/>
                <w:szCs w:val="19"/>
              </w:rPr>
              <w:t xml:space="preserve">42–58</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Income Level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High ($70K–$110K+)</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Family Status</w:t>
            </w:r>
          </w:p>
        </w:tc>
        <w:tc>
          <w:tcPr>
            <w:tcW w:type="dxa" w:w="6600"/>
            <w:tcMar>
              <w:top w:type="dxa" w:w="60"/>
              <w:left w:type="dxa" w:w="100"/>
              <w:bottom w:type="dxa" w:w="60"/>
              <w:right w:type="dxa" w:w="100"/>
            </w:tcMar>
            <w:vAlign w:val="center"/>
          </w:tcPr>
          <w:p>
            <w:pPr>
              <w:jc w:val="left"/>
            </w:pPr>
            <w:r>
              <w:rPr>
                <w:b w:val="false"/>
                <w:bCs w:val="false"/>
                <w:sz w:val="19"/>
                <w:szCs w:val="19"/>
              </w:rPr>
              <w:t xml:space="preserve">Married/partnered, 0–1 children at home</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Shopping Habits</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Frequent, high-value shopping trips; buys across nearly every category</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Preferred Products</w:t>
            </w:r>
          </w:p>
        </w:tc>
        <w:tc>
          <w:tcPr>
            <w:tcW w:type="dxa" w:w="6600"/>
            <w:tcMar>
              <w:top w:type="dxa" w:w="60"/>
              <w:left w:type="dxa" w:w="100"/>
              <w:bottom w:type="dxa" w:w="60"/>
              <w:right w:type="dxa" w:w="100"/>
            </w:tcMar>
            <w:vAlign w:val="center"/>
          </w:tcPr>
          <w:p>
            <w:pPr>
              <w:jc w:val="left"/>
            </w:pPr>
            <w:r>
              <w:rPr>
                <w:b w:val="false"/>
                <w:bCs w:val="false"/>
                <w:sz w:val="19"/>
                <w:szCs w:val="19"/>
              </w:rPr>
              <w:t xml:space="preserve">Wine, meat, premium/gourmet items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Preferred Channel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Catalog and in-store, moderate web use</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Marketing Responsiveness</w:t>
            </w:r>
          </w:p>
        </w:tc>
        <w:tc>
          <w:tcPr>
            <w:tcW w:type="dxa" w:w="6600"/>
            <w:tcMar>
              <w:top w:type="dxa" w:w="60"/>
              <w:left w:type="dxa" w:w="100"/>
              <w:bottom w:type="dxa" w:w="60"/>
              <w:right w:type="dxa" w:w="100"/>
            </w:tcMar>
            <w:vAlign w:val="center"/>
          </w:tcPr>
          <w:p>
            <w:pPr>
              <w:jc w:val="left"/>
            </w:pPr>
            <w:r>
              <w:rPr>
                <w:b w:val="false"/>
                <w:bCs w:val="false"/>
                <w:sz w:val="19"/>
                <w:szCs w:val="19"/>
              </w:rPr>
              <w:t xml:space="preserve">High — accepts ~2 of 6 campaigns on average, 40% final-offer response</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Key Challenge</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Time-poor; wants curated, high-quality options rather than having to browse</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Recommended Strategy</w:t>
            </w:r>
          </w:p>
        </w:tc>
        <w:tc>
          <w:tcPr>
            <w:tcW w:type="dxa" w:w="6600"/>
            <w:tcMar>
              <w:top w:type="dxa" w:w="60"/>
              <w:left w:type="dxa" w:w="100"/>
              <w:bottom w:type="dxa" w:w="60"/>
              <w:right w:type="dxa" w:w="100"/>
            </w:tcMar>
            <w:vAlign w:val="center"/>
          </w:tcPr>
          <w:p>
            <w:pPr>
              <w:jc w:val="left"/>
            </w:pPr>
            <w:r>
              <w:rPr>
                <w:b w:val="false"/>
                <w:bCs w:val="false"/>
                <w:sz w:val="19"/>
                <w:szCs w:val="19"/>
              </w:rPr>
              <w:t xml:space="preserve">VIP loyalty tier, early access to new products, personalized catalog mailers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Estimated CLV</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High — top-tier annual spend and strong repeat engagement</w:t>
            </w:r>
          </w:p>
        </w:tc>
      </w:tr>
    </w:tbl>
    <w:p>
      <w:pPr>
        <w:spacing w:after="200"/>
      </w:pPr>
    </w:p>
    <w:p>
      <w:pPr>
        <w:pStyle w:val="Heading2"/>
        <w:spacing w:after="100" w:before="200"/>
      </w:pPr>
      <w:r>
        <w:t xml:space="preserve">Jordan, the Digital Deal Hunter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600"/>
            <w:shd w:fill="2E5C8A"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600"/>
            <w:shd w:fill="2E5C8A"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Age Range</w:t>
            </w:r>
          </w:p>
        </w:tc>
        <w:tc>
          <w:tcPr>
            <w:tcW w:type="dxa" w:w="6600"/>
            <w:tcMar>
              <w:top w:type="dxa" w:w="60"/>
              <w:left w:type="dxa" w:w="100"/>
              <w:bottom w:type="dxa" w:w="60"/>
              <w:right w:type="dxa" w:w="100"/>
            </w:tcMar>
            <w:vAlign w:val="center"/>
          </w:tcPr>
          <w:p>
            <w:pPr>
              <w:jc w:val="left"/>
            </w:pPr>
            <w:r>
              <w:rPr>
                <w:b w:val="false"/>
                <w:bCs w:val="false"/>
                <w:sz w:val="19"/>
                <w:szCs w:val="19"/>
              </w:rPr>
              <w:t xml:space="preserve">22–35</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Income Level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Moderate ($30K–$55K)</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Family Status</w:t>
            </w:r>
          </w:p>
        </w:tc>
        <w:tc>
          <w:tcPr>
            <w:tcW w:type="dxa" w:w="6600"/>
            <w:tcMar>
              <w:top w:type="dxa" w:w="60"/>
              <w:left w:type="dxa" w:w="100"/>
              <w:bottom w:type="dxa" w:w="60"/>
              <w:right w:type="dxa" w:w="100"/>
            </w:tcMar>
            <w:vAlign w:val="center"/>
          </w:tcPr>
          <w:p>
            <w:pPr>
              <w:jc w:val="left"/>
            </w:pPr>
            <w:r>
              <w:rPr>
                <w:b w:val="false"/>
                <w:bCs w:val="false"/>
                <w:sz w:val="19"/>
                <w:szCs w:val="19"/>
              </w:rPr>
              <w:t xml:space="preserve">Single or partnered, often with young children</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Shopping Habits</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Shops online frequently, waits for deals, price-compares before buying</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Preferred Products</w:t>
            </w:r>
          </w:p>
        </w:tc>
        <w:tc>
          <w:tcPr>
            <w:tcW w:type="dxa" w:w="6600"/>
            <w:tcMar>
              <w:top w:type="dxa" w:w="60"/>
              <w:left w:type="dxa" w:w="100"/>
              <w:bottom w:type="dxa" w:w="60"/>
              <w:right w:type="dxa" w:w="100"/>
            </w:tcMar>
            <w:vAlign w:val="center"/>
          </w:tcPr>
          <w:p>
            <w:pPr>
              <w:jc w:val="left"/>
            </w:pPr>
            <w:r>
              <w:rPr>
                <w:b w:val="false"/>
                <w:bCs w:val="false"/>
                <w:sz w:val="19"/>
                <w:szCs w:val="19"/>
              </w:rPr>
              <w:t xml:space="preserve">Wine (entry-level) and everyday goods; low spend per category</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Preferred Channel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Web — highest of any segment, low catalog/store use</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Marketing Responsiveness</w:t>
            </w:r>
          </w:p>
        </w:tc>
        <w:tc>
          <w:tcPr>
            <w:tcW w:type="dxa" w:w="6600"/>
            <w:tcMar>
              <w:top w:type="dxa" w:w="60"/>
              <w:left w:type="dxa" w:w="100"/>
              <w:bottom w:type="dxa" w:w="60"/>
              <w:right w:type="dxa" w:w="100"/>
            </w:tcMar>
            <w:vAlign w:val="center"/>
          </w:tcPr>
          <w:p>
            <w:pPr>
              <w:jc w:val="left"/>
            </w:pPr>
            <w:r>
              <w:rPr>
                <w:b w:val="false"/>
                <w:bCs w:val="false"/>
                <w:sz w:val="19"/>
                <w:szCs w:val="19"/>
              </w:rPr>
              <w:t xml:space="preserve">Low-moderate — 16% final-offer response, favors deal-driven offers over branded campaigns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Key Challenge</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Price sensitivity limits basket size; not yet a high-value customer</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Recommended Strategy</w:t>
            </w:r>
          </w:p>
        </w:tc>
        <w:tc>
          <w:tcPr>
            <w:tcW w:type="dxa" w:w="6600"/>
            <w:tcMar>
              <w:top w:type="dxa" w:w="60"/>
              <w:left w:type="dxa" w:w="100"/>
              <w:bottom w:type="dxa" w:w="60"/>
              <w:right w:type="dxa" w:w="100"/>
            </w:tcMar>
            <w:vAlign w:val="center"/>
          </w:tcPr>
          <w:p>
            <w:pPr>
              <w:jc w:val="left"/>
            </w:pPr>
            <w:r>
              <w:rPr>
                <w:b w:val="false"/>
                <w:bCs w:val="false"/>
                <w:sz w:val="19"/>
                <w:szCs w:val="19"/>
              </w:rPr>
              <w:t xml:space="preserve">App notifications, flash sales, gamified loyalty points to build long-term habit</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Estimated CLV</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Low today, but highest growth potential as income rises with age</w:t>
            </w:r>
          </w:p>
        </w:tc>
      </w:tr>
    </w:tbl>
    <w:p>
      <w:pPr>
        <w:spacing w:after="200"/>
      </w:pPr>
    </w:p>
    <w:p>
      <w:pPr>
        <w:pStyle w:val="Heading2"/>
        <w:spacing w:after="100" w:before="200"/>
      </w:pPr>
      <w:r>
        <w:t xml:space="preserve">Sam, the Occasional Shopper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600"/>
            <w:shd w:fill="2E5C8A"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600"/>
            <w:shd w:fill="2E5C8A"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Age Range</w:t>
            </w:r>
          </w:p>
        </w:tc>
        <w:tc>
          <w:tcPr>
            <w:tcW w:type="dxa" w:w="6600"/>
            <w:tcMar>
              <w:top w:type="dxa" w:w="60"/>
              <w:left w:type="dxa" w:w="100"/>
              <w:bottom w:type="dxa" w:w="60"/>
              <w:right w:type="dxa" w:w="100"/>
            </w:tcMar>
            <w:vAlign w:val="center"/>
          </w:tcPr>
          <w:p>
            <w:pPr>
              <w:jc w:val="left"/>
            </w:pPr>
            <w:r>
              <w:rPr>
                <w:b w:val="false"/>
                <w:bCs w:val="false"/>
                <w:sz w:val="19"/>
                <w:szCs w:val="19"/>
              </w:rPr>
              <w:t xml:space="preserve">28–55 (wide range)</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Income Level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Lower ($18K–$40K)</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Family Status</w:t>
            </w:r>
          </w:p>
        </w:tc>
        <w:tc>
          <w:tcPr>
            <w:tcW w:type="dxa" w:w="6600"/>
            <w:tcMar>
              <w:top w:type="dxa" w:w="60"/>
              <w:left w:type="dxa" w:w="100"/>
              <w:bottom w:type="dxa" w:w="60"/>
              <w:right w:type="dxa" w:w="100"/>
            </w:tcMar>
            <w:vAlign w:val="center"/>
          </w:tcPr>
          <w:p>
            <w:pPr>
              <w:jc w:val="left"/>
            </w:pPr>
            <w:r>
              <w:rPr>
                <w:b w:val="false"/>
                <w:bCs w:val="false"/>
                <w:sz w:val="19"/>
                <w:szCs w:val="19"/>
              </w:rPr>
              <w:t xml:space="preserve">Often single, mixed household sizes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Shopping Habits</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Infrequent purchases, longest gaps between visits, minimal category breadth</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Preferred Products</w:t>
            </w:r>
          </w:p>
        </w:tc>
        <w:tc>
          <w:tcPr>
            <w:tcW w:type="dxa" w:w="6600"/>
            <w:tcMar>
              <w:top w:type="dxa" w:w="60"/>
              <w:left w:type="dxa" w:w="100"/>
              <w:bottom w:type="dxa" w:w="60"/>
              <w:right w:type="dxa" w:w="100"/>
            </w:tcMar>
            <w:vAlign w:val="center"/>
          </w:tcPr>
          <w:p>
            <w:pPr>
              <w:jc w:val="left"/>
            </w:pPr>
            <w:r>
              <w:rPr>
                <w:b w:val="false"/>
                <w:bCs w:val="false"/>
                <w:sz w:val="19"/>
                <w:szCs w:val="19"/>
              </w:rPr>
              <w:t xml:space="preserve">Low spend across all categories, no clear favorite</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Preferred Channel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No dominant channel — low usage everywhere</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Marketing Responsiveness</w:t>
            </w:r>
          </w:p>
        </w:tc>
        <w:tc>
          <w:tcPr>
            <w:tcW w:type="dxa" w:w="6600"/>
            <w:tcMar>
              <w:top w:type="dxa" w:w="60"/>
              <w:left w:type="dxa" w:w="100"/>
              <w:bottom w:type="dxa" w:w="60"/>
              <w:right w:type="dxa" w:w="100"/>
            </w:tcMar>
            <w:vAlign w:val="center"/>
          </w:tcPr>
          <w:p>
            <w:pPr>
              <w:jc w:val="left"/>
            </w:pPr>
            <w:r>
              <w:rPr>
                <w:b w:val="false"/>
                <w:bCs w:val="false"/>
                <w:sz w:val="19"/>
                <w:szCs w:val="19"/>
              </w:rPr>
              <w:t xml:space="preserve">Very low — 8% final-offer response, largely ignores past campaigns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Key Challenge</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Disengaged; unclear if this is a budget constraint or genuine low interest</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Recommended Strategy</w:t>
            </w:r>
          </w:p>
        </w:tc>
        <w:tc>
          <w:tcPr>
            <w:tcW w:type="dxa" w:w="6600"/>
            <w:tcMar>
              <w:top w:type="dxa" w:w="60"/>
              <w:left w:type="dxa" w:w="100"/>
              <w:bottom w:type="dxa" w:w="60"/>
              <w:right w:type="dxa" w:w="100"/>
            </w:tcMar>
            <w:vAlign w:val="center"/>
          </w:tcPr>
          <w:p>
            <w:pPr>
              <w:jc w:val="left"/>
            </w:pPr>
            <w:r>
              <w:rPr>
                <w:b w:val="false"/>
                <w:bCs w:val="false"/>
                <w:sz w:val="19"/>
                <w:szCs w:val="19"/>
              </w:rPr>
              <w:t xml:space="preserve">Low-cost win-back emails only; not a priority for paid campaign spend</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Estimated CLV</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Low, with limited near-term upside</w:t>
            </w:r>
          </w:p>
        </w:tc>
      </w:tr>
    </w:tbl>
    <w:p>
      <w:pPr>
        <w:spacing w:after="200"/>
      </w:pPr>
    </w:p>
    <w:p>
      <w:pPr>
        <w:pStyle w:val="Heading2"/>
        <w:spacing w:after="100" w:before="200"/>
      </w:pPr>
      <w:r>
        <w:t xml:space="preserve">Robert &amp; Linda, the Traditional Household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600"/>
            <w:shd w:fill="2E5C8A"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600"/>
            <w:shd w:fill="2E5C8A"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Age Range</w:t>
            </w:r>
          </w:p>
        </w:tc>
        <w:tc>
          <w:tcPr>
            <w:tcW w:type="dxa" w:w="6600"/>
            <w:tcMar>
              <w:top w:type="dxa" w:w="60"/>
              <w:left w:type="dxa" w:w="100"/>
              <w:bottom w:type="dxa" w:w="60"/>
              <w:right w:type="dxa" w:w="100"/>
            </w:tcMar>
            <w:vAlign w:val="center"/>
          </w:tcPr>
          <w:p>
            <w:pPr>
              <w:jc w:val="left"/>
            </w:pPr>
            <w:r>
              <w:rPr>
                <w:b w:val="false"/>
                <w:bCs w:val="false"/>
                <w:sz w:val="19"/>
                <w:szCs w:val="19"/>
              </w:rPr>
              <w:t xml:space="preserve">45–65</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Income Level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Moderate-to-good ($45K–$70K)</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Family Status</w:t>
            </w:r>
          </w:p>
        </w:tc>
        <w:tc>
          <w:tcPr>
            <w:tcW w:type="dxa" w:w="6600"/>
            <w:tcMar>
              <w:top w:type="dxa" w:w="60"/>
              <w:left w:type="dxa" w:w="100"/>
              <w:bottom w:type="dxa" w:w="60"/>
              <w:right w:type="dxa" w:w="100"/>
            </w:tcMar>
            <w:vAlign w:val="center"/>
          </w:tcPr>
          <w:p>
            <w:pPr>
              <w:jc w:val="left"/>
            </w:pPr>
            <w:r>
              <w:rPr>
                <w:b w:val="false"/>
                <w:bCs w:val="false"/>
                <w:sz w:val="19"/>
                <w:szCs w:val="19"/>
              </w:rPr>
              <w:t xml:space="preserve">Married, larger household (avg family size 3.0)</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Shopping Habits</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Regular in-store shopping, values consistency over novelty</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Preferred Products</w:t>
            </w:r>
          </w:p>
        </w:tc>
        <w:tc>
          <w:tcPr>
            <w:tcW w:type="dxa" w:w="6600"/>
            <w:tcMar>
              <w:top w:type="dxa" w:w="60"/>
              <w:left w:type="dxa" w:w="100"/>
              <w:bottom w:type="dxa" w:w="60"/>
              <w:right w:type="dxa" w:w="100"/>
            </w:tcMar>
            <w:vAlign w:val="center"/>
          </w:tcPr>
          <w:p>
            <w:pPr>
              <w:jc w:val="left"/>
            </w:pPr>
            <w:r>
              <w:rPr>
                <w:b w:val="false"/>
                <w:bCs w:val="false"/>
                <w:sz w:val="19"/>
                <w:szCs w:val="19"/>
              </w:rPr>
              <w:t xml:space="preserve">Wine and meat, steady mid-range spend across categories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Preferred Channel</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In-store — by far the dominant channel; low web engagement</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Marketing Responsiveness</w:t>
            </w:r>
          </w:p>
        </w:tc>
        <w:tc>
          <w:tcPr>
            <w:tcW w:type="dxa" w:w="6600"/>
            <w:tcMar>
              <w:top w:type="dxa" w:w="60"/>
              <w:left w:type="dxa" w:w="100"/>
              <w:bottom w:type="dxa" w:w="60"/>
              <w:right w:type="dxa" w:w="100"/>
            </w:tcMar>
            <w:vAlign w:val="center"/>
          </w:tcPr>
          <w:p>
            <w:pPr>
              <w:jc w:val="left"/>
            </w:pPr>
            <w:r>
              <w:rPr>
                <w:b w:val="false"/>
                <w:bCs w:val="false"/>
                <w:sz w:val="19"/>
                <w:szCs w:val="19"/>
              </w:rPr>
              <w:t xml:space="preserve">Moderate — 18% final-offer response, better with direct/catalog offers than digital ones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Key Challenge</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Under-engaged by digital marketing; risk of being overlooked in web-first campaigns</w:t>
            </w:r>
          </w:p>
        </w:tc>
      </w:tr>
      <w:tr>
        <w:trPr>
          <w:cantSplit/>
        </w:trPr>
        <w:tc>
          <w:tcPr>
            <w:tcW w:type="dxa" w:w="2600"/>
            <w:tcMar>
              <w:top w:type="dxa" w:w="60"/>
              <w:left w:type="dxa" w:w="100"/>
              <w:bottom w:type="dxa" w:w="60"/>
              <w:right w:type="dxa" w:w="100"/>
            </w:tcMar>
            <w:vAlign w:val="center"/>
          </w:tcPr>
          <w:p>
            <w:pPr>
              <w:jc w:val="left"/>
            </w:pPr>
            <w:r>
              <w:rPr>
                <w:b w:val="false"/>
                <w:bCs w:val="false"/>
                <w:sz w:val="19"/>
                <w:szCs w:val="19"/>
              </w:rPr>
              <w:t xml:space="preserve">Recommended Strategy</w:t>
            </w:r>
          </w:p>
        </w:tc>
        <w:tc>
          <w:tcPr>
            <w:tcW w:type="dxa" w:w="6600"/>
            <w:tcMar>
              <w:top w:type="dxa" w:w="60"/>
              <w:left w:type="dxa" w:w="100"/>
              <w:bottom w:type="dxa" w:w="60"/>
              <w:right w:type="dxa" w:w="100"/>
            </w:tcMar>
            <w:vAlign w:val="center"/>
          </w:tcPr>
          <w:p>
            <w:pPr>
              <w:jc w:val="left"/>
            </w:pPr>
            <w:r>
              <w:rPr>
                <w:b w:val="false"/>
                <w:bCs w:val="false"/>
                <w:sz w:val="19"/>
                <w:szCs w:val="19"/>
              </w:rPr>
              <w:t xml:space="preserve">In-store promotions, mailed coupons, family-size bundle deals</w:t>
            </w:r>
          </w:p>
        </w:tc>
      </w:tr>
      <w:tr>
        <w:trPr>
          <w:cantSplit/>
        </w:trPr>
        <w:tc>
          <w:tcPr>
            <w:tcW w:type="dxa" w:w="2600"/>
            <w:shd w:fill="EAF1F8" w:val="clear"/>
            <w:tcMar>
              <w:top w:type="dxa" w:w="60"/>
              <w:left w:type="dxa" w:w="100"/>
              <w:bottom w:type="dxa" w:w="60"/>
              <w:right w:type="dxa" w:w="100"/>
            </w:tcMar>
            <w:vAlign w:val="center"/>
          </w:tcPr>
          <w:p>
            <w:pPr>
              <w:jc w:val="left"/>
            </w:pPr>
            <w:r>
              <w:rPr>
                <w:b w:val="false"/>
                <w:bCs w:val="false"/>
                <w:sz w:val="19"/>
                <w:szCs w:val="19"/>
              </w:rPr>
              <w:t xml:space="preserve">Estimated CLV</w:t>
            </w:r>
          </w:p>
        </w:tc>
        <w:tc>
          <w:tcPr>
            <w:tcW w:type="dxa" w:w="6600"/>
            <w:shd w:fill="EAF1F8" w:val="clear"/>
            <w:tcMar>
              <w:top w:type="dxa" w:w="60"/>
              <w:left w:type="dxa" w:w="100"/>
              <w:bottom w:type="dxa" w:w="60"/>
              <w:right w:type="dxa" w:w="100"/>
            </w:tcMar>
            <w:vAlign w:val="center"/>
          </w:tcPr>
          <w:p>
            <w:pPr>
              <w:jc w:val="left"/>
            </w:pPr>
            <w:r>
              <w:rPr>
                <w:b w:val="false"/>
                <w:bCs w:val="false"/>
                <w:sz w:val="19"/>
                <w:szCs w:val="19"/>
              </w:rPr>
              <w:t xml:space="preserve">Moderate-to-good — stable, reliable spend over time</w:t>
            </w:r>
          </w:p>
        </w:tc>
      </w:tr>
    </w:tbl>
    <w:p>
      <w:pPr>
        <w:spacing w:after="200"/>
      </w:pPr>
    </w:p>
    <w:p>
      <w:r>
        <w:br w:type="page"/>
      </w:r>
    </w:p>
    <w:p>
      <w:pPr>
        <w:pStyle w:val="Heading1"/>
        <w:spacing w:after="120" w:before="200"/>
      </w:pPr>
      <w:r>
        <w:t xml:space="preserve">7. Cluster Visualization &amp; Final Documentation</w:t>
      </w:r>
    </w:p>
    <w:p>
      <w:pPr>
        <w:pStyle w:val="Heading3"/>
        <w:spacing w:after="80" w:before="160"/>
      </w:pPr>
      <w:r>
        <w:t xml:space="preserve">Cluster Distribution</w:t>
      </w:r>
    </w:p>
    <w:p>
      <w:pPr>
        <w:spacing w:after="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943350"/>
                    </a:xfrm>
                    <a:prstGeom prst="rect">
                      <a:avLst/>
                    </a:prstGeom>
                  </pic:spPr>
                </pic:pic>
              </a:graphicData>
            </a:graphic>
          </wp:inline>
        </w:drawing>
      </w:r>
    </w:p>
    <w:p>
      <w:pPr>
        <w:pStyle w:val="Heading3"/>
        <w:spacing w:after="80" w:before="160"/>
      </w:pPr>
      <w:r>
        <w:t xml:space="preserve">Income Comparison</w:t>
      </w:r>
    </w:p>
    <w:p>
      <w:pPr>
        <w:spacing w:after="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943350"/>
                    </a:xfrm>
                    <a:prstGeom prst="rect">
                      <a:avLst/>
                    </a:prstGeom>
                  </pic:spPr>
                </pic:pic>
              </a:graphicData>
            </a:graphic>
          </wp:inline>
        </w:drawing>
      </w:r>
    </w:p>
    <w:p>
      <w:pPr>
        <w:pStyle w:val="Heading3"/>
        <w:spacing w:after="80" w:before="160"/>
      </w:pPr>
      <w:r>
        <w:t xml:space="preserve">Spending Comparison</w:t>
      </w:r>
    </w:p>
    <w:p>
      <w:pPr>
        <w:spacing w:after="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943350"/>
                    </a:xfrm>
                    <a:prstGeom prst="rect">
                      <a:avLst/>
                    </a:prstGeom>
                  </pic:spPr>
                </pic:pic>
              </a:graphicData>
            </a:graphic>
          </wp:inline>
        </w:drawing>
      </w:r>
    </w:p>
    <w:p>
      <w:pPr>
        <w:pStyle w:val="Heading3"/>
        <w:spacing w:after="80" w:before="160"/>
      </w:pPr>
      <w:r>
        <w:t xml:space="preserve">Radar Chart of Cluster Characteristics</w:t>
      </w:r>
    </w:p>
    <w:p>
      <w:pPr>
        <w:spacing w:after="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572000"/>
                    </a:xfrm>
                    <a:prstGeom prst="rect">
                      <a:avLst/>
                    </a:prstGeom>
                  </pic:spPr>
                </pic:pic>
              </a:graphicData>
            </a:graphic>
          </wp:inline>
        </w:drawing>
      </w:r>
    </w:p>
    <w:p>
      <w:pPr>
        <w:pStyle w:val="Heading3"/>
        <w:spacing w:after="80" w:before="160"/>
      </w:pPr>
      <w:r>
        <w:t xml:space="preserve">PCA Cluster Visualization</w:t>
      </w:r>
    </w:p>
    <w:p>
      <w:pPr>
        <w:spacing w:after="120"/>
      </w:pPr>
      <w:r>
        <w:t xml:space="preserve">Reducing the 8 standardized clustering features to 2 principal components (explaining ~67% of total variance) confirms the segments are genuinely separable, not an artifact of the algorithm — the four groups form clearly distinct regions with limited overlap.</w:t>
      </w:r>
    </w:p>
    <w:p>
      <w:pPr>
        <w:spacing w:after="2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14775"/>
                    </a:xfrm>
                    <a:prstGeom prst="rect">
                      <a:avLst/>
                    </a:prstGeom>
                  </pic:spPr>
                </pic:pic>
              </a:graphicData>
            </a:graphic>
          </wp:inline>
        </w:drawing>
      </w:r>
    </w:p>
    <w:p>
      <w:r>
        <w:br w:type="page"/>
      </w:r>
    </w:p>
    <w:p>
      <w:pPr>
        <w:pStyle w:val="Heading1"/>
        <w:spacing w:after="120" w:before="200"/>
      </w:pPr>
      <w:r>
        <w:t xml:space="preserve">Final Business Recommendations</w:t>
      </w:r>
    </w:p>
    <w:p>
      <w:pPr>
        <w:spacing w:after="60"/>
      </w:pPr>
      <w:r>
        <w:t xml:space="preserve">• Protect the Premium Loyal segment with a loyalty program and early access to new products — they're only 22% of customers but drive the highest spend and campaign ROI.</w:t>
      </w:r>
    </w:p>
    <w:p>
      <w:pPr>
        <w:spacing w:after="60"/>
      </w:pPr>
      <w:r>
        <w:t xml:space="preserve">• Invest in mobile/app engagement for Digital-First Deal Seekers — they're young, high-frequency, and price-driven; converting habit now pays off as their income grows.</w:t>
      </w:r>
    </w:p>
    <w:p>
      <w:pPr>
        <w:spacing w:after="60"/>
      </w:pPr>
      <w:r>
        <w:t xml:space="preserve">• Keep marketing spend low on Low-Value Inactive customers until a cheap win-back campaign proves engagement is recoverable — over a quarter of the base falls here, so even small efficiency gains matter, but broad campaign spend is unlikely to pay back.</w:t>
      </w:r>
    </w:p>
    <w:p>
      <w:pPr>
        <w:spacing w:after="60"/>
      </w:pPr>
      <w:r>
        <w:t xml:space="preserve">• Shift Store-Oriented Traditional customers toward in-store and direct-mail offers rather than digital campaigns, and consider family/bundle pricing given their larger household size.</w:t>
      </w:r>
    </w:p>
    <w:p>
      <w:pPr>
        <w:spacing w:after="60"/>
      </w:pPr>
      <w:r>
        <w:t xml:space="preserve">• Build a lightweight re-engagement track (win-back email + modest discount) targeted at the ~13 customers identified as high-recency, zero-campaign-acceptance, but historically above-median spenders — a small, high-leverage list.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de928399322ad3f970ed431835cadb3867841.png"/><Relationship Id="rId8" Type="http://schemas.openxmlformats.org/officeDocument/2006/relationships/image" Target="media/f9e1514344c401c40a0f96102882463c236f3fce.png"/><Relationship Id="rId9" Type="http://schemas.openxmlformats.org/officeDocument/2006/relationships/image" Target="media/927a13c491ad5f2cc26d557bc981c502b7de1921.png"/><Relationship Id="rId10" Type="http://schemas.openxmlformats.org/officeDocument/2006/relationships/image" Target="media/1779fa3bdb3992385f57e3f8f708c31fbff81fd1.png"/><Relationship Id="rId11" Type="http://schemas.openxmlformats.org/officeDocument/2006/relationships/image" Target="media/950ee4136bca520356f6504220422864969dc571.png"/><Relationship Id="rId12" Type="http://schemas.openxmlformats.org/officeDocument/2006/relationships/image" Target="media/0302f2a15cefb5d3c116b948097c7b0e690326c7.png"/><Relationship Id="rId13" Type="http://schemas.openxmlformats.org/officeDocument/2006/relationships/image" Target="media/01413eb440155c6706fdc811f8ce0398887b89d8.png"/><Relationship Id="rId14" Type="http://schemas.openxmlformats.org/officeDocument/2006/relationships/image" Target="media/be39637a6836c75f180cef279ea9bea0bcb0e82d.png"/><Relationship Id="rId15" Type="http://schemas.openxmlformats.org/officeDocument/2006/relationships/image" Target="media/ffabb3bd295e2912e4e71279bab9b13d34cc7b6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2026-08-11T07:17:31.972Z</dcterms:created>
  <dcterms:modified xsi:type="dcterms:W3CDTF">2026-08-11T07:17:31.972Z</dcterms:modified>
</cp:coreProperties>
</file>

<file path=docProps/custom.xml><?xml version="1.0" encoding="utf-8"?>
<Properties xmlns="http://schemas.openxmlformats.org/officeDocument/2006/custom-properties" xmlns:vt="http://schemas.openxmlformats.org/officeDocument/2006/docPropsVTypes"/>
</file>