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jc w:val="center"/>
      </w:pPr>
      <w:r>
        <w:rPr>
          <w:rFonts w:ascii="Arial" w:hAnsi="Arial"/>
          <w:b/>
          <w:i w:val="0"/>
          <w:color w:val="17365D"/>
          <w:sz w:val="34"/>
        </w:rPr>
        <w:t>Supplementary Computational Rationale, Parameterization and Interpretation</w:t>
      </w:r>
    </w:p>
    <w:p>
      <w:pPr>
        <w:widowControl/>
        <w:spacing w:after="240"/>
        <w:jc w:val="center"/>
      </w:pPr>
      <w:r>
        <w:rPr>
          <w:rFonts w:ascii="Arial" w:hAnsi="Arial"/>
          <w:b w:val="0"/>
          <w:i/>
          <w:color w:val="666666"/>
          <w:sz w:val="21"/>
        </w:rPr>
        <w:t>Downstream applications of the reconstructed Rhodopseudomonas palustris DSM123 metabolic network</w:t>
      </w:r>
    </w:p>
    <w:p>
      <w:pPr>
        <w:pStyle w:val="Heading1"/>
        <w:keepNext/>
        <w:spacing w:before="200" w:after="80"/>
        <w:jc w:val="left"/>
      </w:pPr>
      <w:r>
        <w:rPr>
          <w:rFonts w:ascii="Arial" w:hAnsi="Arial"/>
          <w:b/>
          <w:i w:val="0"/>
          <w:color w:val="17365D"/>
          <w:sz w:val="30"/>
        </w:rPr>
        <w:t>1. Purpose and analytical logic</w:t>
      </w:r>
    </w:p>
    <w:p>
      <w:pPr>
        <w:widowControl/>
        <w:spacing w:after="120" w:line="259" w:lineRule="auto"/>
        <w:jc w:val="left"/>
      </w:pPr>
      <w:r>
        <w:t>The analyses were designed as downstream applications of the reconstructed DSM123 metabolic network rather than as additional network-reconstruction steps. The five figures address complementary questions that cannot be answered by a single optimization: (i) which combinations of formate and light support growth and carbon conversion; (ii) whether active ForT transport can explain the dynamic phenotype relative to passive formic-acid diffusion; (iii) whether ForT substrate affinity or transporter capacity controls growth; (iv) how transporter capacity changes the feasible flux space at near-optimal growth; and (v) which downstream physiological modules become limiting when transporter capacity is varied. Together, these analyses progress from an environmental scan and mechanistic transport comparison to dynamic sensitivity analysis, feasible-space analysis, and module-level bottleneck diagnosis.</w:t>
      </w:r>
    </w:p>
    <w:p>
      <w:pPr>
        <w:widowControl/>
        <w:pBdr>
          <w:left w:val="single" w:sz="12" w:space="6" w:color="2F75B5"/>
        </w:pBdr>
        <w:spacing w:after="80"/>
        <w:ind w:left="259"/>
      </w:pPr>
      <w:r>
        <w:rPr>
          <w:rFonts w:ascii="Arial" w:hAnsi="Arial"/>
          <w:b w:val="0"/>
          <w:i w:val="0"/>
          <w:sz w:val="21"/>
        </w:rPr>
        <w:t>Scan_Analysis_Final.svg: maps steady-state growth and the RBPC/FDH flux ratio across formate and photon uptake constraints.</w:t>
      </w:r>
    </w:p>
    <w:p>
      <w:pPr/>
      <w:r>
        <w:t>mm_enzyme_constrained_dfba_20mM_active_diffusion.svg: compares biomass accumulation and formate depletion under active ForT uptake versus passive diffusion at 20 mM initial formate.</w:t>
      </w:r>
    </w:p>
    <w:p>
      <w:pPr>
        <w:widowControl/>
        <w:pBdr>
          <w:left w:val="single" w:sz="12" w:space="6" w:color="2F75B5"/>
        </w:pBdr>
        <w:spacing w:after="80"/>
        <w:ind w:left="259"/>
      </w:pPr>
      <w:r>
        <w:rPr>
          <w:rFonts w:ascii="Arial" w:hAnsi="Arial"/>
          <w:b w:val="0"/>
          <w:i w:val="0"/>
          <w:sz w:val="21"/>
        </w:rPr>
        <w:t>mm_dfba_20mM_fort_parameter_sensitivity.svg: separates the effects of ForT Km and Vmax on biomass accumulation and formate depletion.</w:t>
      </w:r>
    </w:p>
    <w:p>
      <w:pPr>
        <w:widowControl/>
        <w:pBdr>
          <w:left w:val="single" w:sz="12" w:space="6" w:color="2F75B5"/>
        </w:pBdr>
        <w:spacing w:after="80"/>
        <w:ind w:left="259"/>
      </w:pPr>
      <w:r>
        <w:rPr>
          <w:rFonts w:ascii="Arial" w:hAnsi="Arial"/>
          <w:b w:val="0"/>
          <w:i w:val="0"/>
          <w:sz w:val="21"/>
        </w:rPr>
        <w:t>mm_fva_transport_gated_carbon_flux_capacity_loopless_filtered.svg: quantifies the near-optimal feasible ranges of transport, FDH, RuBisCO and central-carbon reactions.</w:t>
      </w:r>
    </w:p>
    <w:p>
      <w:pPr>
        <w:widowControl/>
        <w:pBdr>
          <w:left w:val="single" w:sz="12" w:space="6" w:color="2F75B5"/>
        </w:pBdr>
        <w:spacing w:after="80"/>
        <w:ind w:left="259"/>
      </w:pPr>
      <w:r>
        <w:rPr>
          <w:rFonts w:ascii="Arial" w:hAnsi="Arial"/>
          <w:b w:val="0"/>
          <w:i w:val="0"/>
          <w:sz w:val="21"/>
        </w:rPr>
        <w:t>mm_dfba_module_capacity_scaling_response_heatmap_CS_standard.svg: tests module-level capacity restrictions under four ForT backgrounds and reports relative biomass, cumulative RuBisCO flux and cumulative CS flux.</w:t>
      </w:r>
    </w:p>
    <w:p>
      <w:pPr>
        <w:pStyle w:val="Heading1"/>
        <w:keepNext/>
        <w:spacing w:before="200" w:after="80"/>
        <w:jc w:val="left"/>
      </w:pPr>
      <w:r>
        <w:rPr>
          <w:rFonts w:ascii="Arial" w:hAnsi="Arial"/>
          <w:b/>
          <w:i w:val="0"/>
          <w:color w:val="17365D"/>
          <w:sz w:val="30"/>
        </w:rPr>
        <w:t>2. Shared enzyme-constrained dFBA framework</w:t>
      </w:r>
    </w:p>
    <w:p>
      <w:pPr>
        <w:widowControl/>
        <w:spacing w:after="120" w:line="259" w:lineRule="auto"/>
        <w:jc w:val="left"/>
      </w:pPr>
      <w:r>
        <w:rPr>
          <w:rFonts w:ascii="Arial" w:hAnsi="Arial"/>
          <w:b w:val="0"/>
          <w:i w:val="0"/>
          <w:sz w:val="21"/>
        </w:rPr>
        <w:t>The ForT sensitivity, loopless FVA and module-capacity analyses use the enzyme-constrained definitions in Notebook 3. The reconstructed model is first placed in the shared medium, biomass formation (BIOMASS__1) is selected as the objective, and RNA-seq-scaled Michaelis-Menten capacities are applied to the curated FDH, CBB and TCA reaction set. The biomass reaction imposes a maximum growth rate of 0.023645071 h-1. The Scan_Analysis_Final analysis is intentionally separate: it is a conventional steady-state FBA scan and does not apply the RNA-seq-scaled enzyme constraints.</w:t>
      </w:r>
    </w:p>
    <w:p>
      <w:pPr>
        <w:pStyle w:val="Heading2"/>
        <w:keepNext/>
        <w:spacing w:before="140" w:after="80"/>
        <w:jc w:val="left"/>
      </w:pPr>
      <w:r>
        <w:rPr>
          <w:rFonts w:ascii="Arial" w:hAnsi="Arial"/>
          <w:b/>
          <w:i w:val="0"/>
          <w:color w:val="17365D"/>
          <w:sz w:val="24"/>
        </w:rPr>
        <w:t>2.1 Transport and enzyme-capacity equations</w:t>
      </w:r>
    </w:p>
    <w:p>
      <w:pPr>
        <w:spacing w:before="60" w:after="120"/>
        <w:ind w:left="504" w:right="360"/>
        <w:jc w:val="left"/>
        <w:widowControl/>
        <w:shd w:fill="F2F2F2"/>
      </w:pPr>
      <w:r>
        <w:rPr>
          <w:rFonts w:ascii="Cambria Math" w:hAnsi="Cambria Math"/>
          <w:b w:val="0"/>
          <w:i/>
          <w:sz w:val="21"/>
        </w:rPr>
        <w:t>v_ForT(t) = Vmax_ForT x S_for(t) / [Km_ForT + S_for(t)]</w:t>
      </w:r>
    </w:p>
    <w:p>
      <w:pPr>
        <w:widowControl/>
        <w:spacing w:after="120" w:line="259" w:lineRule="auto"/>
        <w:jc w:val="left"/>
      </w:pPr>
      <w:r>
        <w:rPr>
          <w:rFonts w:ascii="Arial" w:hAnsi="Arial"/>
          <w:b w:val="0"/>
          <w:i w:val="0"/>
          <w:sz w:val="21"/>
        </w:rPr>
        <w:t>The baseline ForT parameters are Vmax_ForT = 1.786555464 mmol gDW-1 h-1 and Km_ForT = 0.01814 mM. The transporter-capacity perturbations multiply Vmax, whereas the affinity perturbations multiply Km.</w:t>
      </w:r>
    </w:p>
    <w:p>
      <w:pPr>
        <w:spacing w:before="60" w:after="120"/>
        <w:ind w:left="504" w:right="360"/>
        <w:jc w:val="left"/>
        <w:widowControl/>
        <w:shd w:fill="F2F2F2"/>
      </w:pPr>
      <w:r>
        <w:rPr>
          <w:rFonts w:ascii="Cambria Math" w:hAnsi="Cambria Math"/>
          <w:b w:val="0"/>
          <w:i/>
          <w:sz w:val="21"/>
        </w:rPr>
        <w:t>Vmax,r = kcat,r x [E_r (mumol gDW-1) / 1000] x 3600</w:t>
      </w:r>
    </w:p>
    <w:p>
      <w:pPr>
        <w:spacing w:before="60" w:after="120"/>
        <w:ind w:left="504" w:right="360"/>
        <w:jc w:val="left"/>
        <w:widowControl/>
        <w:shd w:fill="F2F2F2"/>
      </w:pPr>
      <w:r>
        <w:rPr>
          <w:rFonts w:ascii="Cambria Math" w:hAnsi="Cambria Math"/>
          <w:b w:val="0"/>
          <w:i/>
          <w:sz w:val="21"/>
        </w:rPr>
        <w:t>v_bound,r(t) = Vmax,r x min_i{S_i(t) / [Km,i + S_i(t)]}</w:t>
      </w:r>
    </w:p>
    <w:p>
      <w:pPr>
        <w:widowControl/>
        <w:spacing w:after="120" w:line="259" w:lineRule="auto"/>
        <w:jc w:val="left"/>
      </w:pPr>
      <w:r>
        <w:rPr>
          <w:rFonts w:ascii="Arial" w:hAnsi="Arial"/>
          <w:b w:val="0"/>
          <w:i w:val="0"/>
          <w:sz w:val="21"/>
        </w:rPr>
        <w:t>For multi-substrate reactions, the minimum saturation term is used as the limiting factor. Enzyme abundance is allocated from the modeled biomass protein pool using mapped 6 h RNA-seq expression fractions. Molecular mass is estimated from sequence length using 0.110 kDa per amino-acid residue, with a 50 kDa fallback when sequence length is unavailable.</w:t>
      </w:r>
    </w:p>
    <w:p>
      <w:pPr>
        <w:pStyle w:val="Heading2"/>
      </w:pPr>
      <w:r>
        <w:t>2.2 Biomass protein pool and RNA-seq enzyme allocation</w:t>
      </w:r>
    </w:p>
    <w:p>
      <w:pPr/>
      <w:r>
        <w:t>The absolute BIOMASS__1 coefficient of bm_pro_c (0.5112) is used as the model-derived protein fraction in g protein per gDW. The constrained enzyme-pool fraction is currently 1.0, so total constrained enzyme mass = 0.5112 x 1.0 g protein gDW-1. This is a model-based allocation proxy and should be replaced if an absolute pathway-resolved proteome fraction becomes available.</w:t>
      </w:r>
    </w:p>
    <w:p>
      <w:pPr/>
      <w:r>
        <w:t>RNA-seq values are taken from Supplementary File S1. DSM 123 RNA-seq DEG.xlsx, sheet 123 0h vs 6h. DSM123 ACXYSJ loci are mapped to PGIDNB identifiers, and each reaction receives the median 6 h expression value of its mapped genes.</w:t>
      </w:r>
    </w:p>
    <w:p>
      <w:pPr/>
      <w:r>
        <w:t>RNA allocation fraction_r = RNA score_r / sum(RNA scores of all constrained reactions)</w:t>
      </w:r>
    </w:p>
    <w:p>
      <w:pPr/>
      <w:r>
        <w:t>Allocated enzyme mass_r = total constrained enzyme mass x RNA allocation fraction_r</w:t>
      </w:r>
    </w:p>
    <w:p>
      <w:pPr/>
      <w:r>
        <w:t>Estimated MW_r (kDa) = summed unique GPR protein length x 0.110 kDa residue-1; a 50 kDa fallback is used when sequence length is unavailable.</w:t>
      </w:r>
    </w:p>
    <w:p>
      <w:pPr/>
      <w:r>
        <w:t>Enzyme_r (umol gDW-1) = allocated enzyme mass_r / [estimated MW_r (kDa) x 1000] x 10^6</w:t>
      </w:r>
    </w:p>
    <w:p>
      <w:pPr/>
      <w:r>
        <w:t>FDH uses the RpFDH measurements from this study (kcat = 4.87 s-1; Km,formate = 237.8 uM = 0.2378 mM). Its RNA-seq allocation uses PGIDNB_23465-PGIDNB_23485; PGIDNB_23490 encodes the formate transporter and is excluded from the FDH enzyme complex.</w:t>
      </w:r>
    </w:p>
    <w:p>
      <w:pPr>
        <w:pStyle w:val="Heading2"/>
        <w:keepNext/>
        <w:spacing w:before="140" w:after="80"/>
        <w:jc w:val="left"/>
      </w:pPr>
      <w:r>
        <w:t>2.3 Dynamic state update</w:t>
      </w:r>
    </w:p>
    <w:p>
      <w:pPr>
        <w:spacing w:before="60" w:after="120"/>
        <w:ind w:left="504" w:right="360"/>
        <w:jc w:val="left"/>
        <w:widowControl/>
        <w:shd w:fill="F2F2F2"/>
      </w:pPr>
      <w:r>
        <w:rPr>
          <w:rFonts w:ascii="Cambria Math" w:hAnsi="Cambria Math"/>
          <w:b w:val="0"/>
          <w:i/>
          <w:sz w:val="21"/>
        </w:rPr>
        <w:t>X(t + dt) = X(t) + mu(t)X(t)dt</w:t>
      </w:r>
    </w:p>
    <w:p>
      <w:pPr>
        <w:spacing w:before="60" w:after="120"/>
        <w:ind w:left="504" w:right="360"/>
        <w:jc w:val="left"/>
        <w:widowControl/>
        <w:shd w:fill="F2F2F2"/>
      </w:pPr>
      <w:r>
        <w:rPr>
          <w:rFonts w:ascii="Cambria Math" w:hAnsi="Cambria Math"/>
          <w:b w:val="0"/>
          <w:i/>
          <w:sz w:val="21"/>
        </w:rPr>
        <w:t>F(t + dt) = max{0, F(t) + v_EX_for(t)X(t + dt)dt}</w:t>
      </w:r>
    </w:p>
    <w:p>
      <w:pPr>
        <w:spacing w:before="60" w:after="120"/>
        <w:ind w:left="504" w:right="360"/>
        <w:jc w:val="left"/>
        <w:widowControl/>
        <w:shd w:fill="F2F2F2"/>
      </w:pPr>
      <w:r>
        <w:rPr>
          <w:rFonts w:ascii="Cambria Math" w:hAnsi="Cambria Math"/>
          <w:b w:val="0"/>
          <w:i/>
          <w:sz w:val="21"/>
        </w:rPr>
        <w:t>CO2(t + dt) = CO2(t) + v_EX_co2(t)X(t + dt)dt</w:t>
      </w:r>
    </w:p>
    <w:p>
      <w:pPr>
        <w:widowControl/>
        <w:spacing w:after="120" w:line="259" w:lineRule="auto"/>
        <w:jc w:val="left"/>
      </w:pPr>
      <w:r>
        <w:rPr>
          <w:rFonts w:ascii="Arial" w:hAnsi="Arial"/>
          <w:b w:val="0"/>
          <w:i w:val="0"/>
          <w:sz w:val="21"/>
        </w:rPr>
        <w:t>Exchange flux follows the COBRA sign convention; formate uptake is negative. The implementation updates biomass before using biomass in the extracellular concentration update, matching the notebook code.</w:t>
      </w:r>
    </w:p>
    <w:p>
      <w:pPr>
        <w:pStyle w:val="Heading2"/>
      </w:pPr>
      <w:r>
        <w:t>2.4 Active ForT transport versus passive diffusion</w:t>
      </w:r>
    </w:p>
    <w:p>
      <w:pPr/>
      <w:r>
        <w:t>Associated figure: mm_enzyme_constrained_dfba_20mM_active_diffusion.svg</w:t>
      </w:r>
    </w:p>
    <w:p>
      <w:pPr/>
      <w:r>
        <w:t>The 20 mM comparison was simulated for 360 h with dt = 1 h. Active uptake follows the ForT Michaelis-Menten expression above. Passive diffusion assumes that only undissociated formic acid crosses the envelope, with f_undiss = 1 / [1 + 10^(pH - pKa)] and S_undiss = S_total x f_undiss.</w:t>
      </w:r>
    </w:p>
    <w:p>
      <w:pPr/>
      <w:r>
        <w:t>v_diff = P x A_spec x (3600 / 1000) x S_undiss</w:t>
      </w:r>
    </w:p>
    <w:p>
      <w:pPr/>
      <w:r>
        <w:t>The implemented parameters are P = 1.0 x 10^-8 cm s-1, A_spec = 1.32 x 10^5 cm2 gDW-1, pH = 7.0, and pKa = 3.75. The factors 3600 and 1000 convert seconds to hours and cm3 to liters. Photon uptake is limited by min(60, 50/X) mmol gDW-1 h-1, and the maximum growth rate is 0.023645071 h-1.</w:t>
      </w:r>
    </w:p>
    <w:p>
      <w:pPr/>
      <w:r>
        <w:t>The simulation predicts substantial formate depletion and biomass accumulation only with active transport; passive diffusion remains negligible at neutral pH because the undissociated formic-acid fraction is very small.</w:t>
      </w:r>
    </w:p>
    <w:p>
      <w:pPr>
        <w:pStyle w:val="Heading1"/>
        <w:keepNext/>
        <w:spacing w:before="200" w:after="80"/>
        <w:jc w:val="left"/>
      </w:pPr>
      <w:r>
        <w:rPr>
          <w:rFonts w:ascii="Arial" w:hAnsi="Arial"/>
          <w:b/>
          <w:i w:val="0"/>
          <w:color w:val="17365D"/>
          <w:sz w:val="30"/>
        </w:rPr>
        <w:t>3. Steady-state formate-light scan</w:t>
      </w:r>
    </w:p>
    <w:p>
      <w:pPr>
        <w:widowControl/>
        <w:spacing w:after="120"/>
        <w:jc w:val="left"/>
      </w:pPr>
      <w:r>
        <w:rPr>
          <w:rFonts w:ascii="Arial" w:hAnsi="Arial"/>
          <w:b w:val="0"/>
          <w:i/>
          <w:color w:val="666666"/>
          <w:sz w:val="18"/>
        </w:rPr>
        <w:t>Associated figure: Scan_Analysis_Final.svg</w:t>
      </w:r>
    </w:p>
    <w:p>
      <w:pPr>
        <w:pStyle w:val="Heading2"/>
        <w:keepNext/>
        <w:spacing w:before="140" w:after="80"/>
        <w:jc w:val="left"/>
      </w:pPr>
      <w:r>
        <w:rPr>
          <w:rFonts w:ascii="Arial" w:hAnsi="Arial"/>
          <w:b/>
          <w:i w:val="0"/>
          <w:color w:val="17365D"/>
          <w:sz w:val="24"/>
        </w:rPr>
        <w:t>3.1 Why this analysis was performed</w:t>
      </w:r>
    </w:p>
    <w:p>
      <w:pPr>
        <w:widowControl/>
        <w:spacing w:after="120" w:line="259" w:lineRule="auto"/>
        <w:jc w:val="left"/>
      </w:pPr>
      <w:r>
        <w:rPr>
          <w:rFonts w:ascii="Arial" w:hAnsi="Arial"/>
          <w:b w:val="0"/>
          <w:i w:val="0"/>
          <w:sz w:val="21"/>
        </w:rPr>
        <w:t>This analysis establishes the environmental operating space of the reconstructed network before dynamic and enzyme-capacity constraints are introduced. It asks how much growth can be supported by each combination of formate and 870-nm-equivalent purple-light uptake and whether the relative routing of formate-derived reducing power into RuBisCO changes across that space.</w:t>
      </w:r>
    </w:p>
    <w:p>
      <w:pPr>
        <w:pStyle w:val="Heading2"/>
        <w:keepNext/>
        <w:spacing w:before="140" w:after="80"/>
        <w:jc w:val="left"/>
      </w:pPr>
      <w:r>
        <w:rPr>
          <w:rFonts w:ascii="Arial" w:hAnsi="Arial"/>
          <w:b/>
          <w:i w:val="0"/>
          <w:color w:val="17365D"/>
          <w:sz w:val="24"/>
        </w:rPr>
        <w:t>3.2 Code-defined calculation</w:t>
      </w:r>
    </w:p>
    <w:tbl>
      <w:tblPr>
        <w:tblW w:type="dxa" w:w="9360"/>
        <w:tblLayout w:type="fixed"/>
        <w:tblLook w:firstColumn="1" w:firstRow="1" w:lastColumn="0" w:lastRow="0" w:noHBand="0" w:noVBand="1" w:val="04A0"/>
        <w:jc w:val="center"/>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Ind w:w="120" w:type="dxa"/>
      </w:tblPr>
      <w:tblGrid>
        <w:gridCol w:w="4680"/>
        <w:gridCol w:w="4680"/>
      </w:tblGrid>
      <w:tr>
        <w:trPr>
          <w:tblHeader w:val="true"/>
        </w:trPr>
        <w:tc>
          <w:tcPr>
            <w:tcW w:type="dxa" w:w="2700"/>
            <w:tcMar>
              <w:top w:w="60" w:type="dxa"/>
              <w:start w:w="100" w:type="dxa"/>
              <w:bottom w:w="60" w:type="dxa"/>
              <w:end w:w="100" w:type="dxa"/>
            </w:tcMar>
            <w:vAlign w:val="center"/>
            <w:shd w:fill="17365D"/>
          </w:tcPr>
          <w:p>
            <w:pPr>
              <w:jc w:val="center"/>
            </w:pPr>
            <w:r/>
            <w:r>
              <w:rPr>
                <w:rFonts w:ascii="Arial" w:hAnsi="Arial"/>
                <w:b/>
                <w:i w:val="0"/>
                <w:color w:val="FFFFFF"/>
                <w:sz w:val="18"/>
              </w:rPr>
              <w:t>Code-defined parameter</w:t>
            </w:r>
          </w:p>
        </w:tc>
        <w:tc>
          <w:tcPr>
            <w:tcW w:type="dxa" w:w="6660"/>
            <w:tcMar>
              <w:top w:w="60" w:type="dxa"/>
              <w:start w:w="100" w:type="dxa"/>
              <w:bottom w:w="60" w:type="dxa"/>
              <w:end w:w="100" w:type="dxa"/>
            </w:tcMar>
            <w:vAlign w:val="center"/>
            <w:shd w:fill="17365D"/>
          </w:tcPr>
          <w:p>
            <w:pPr>
              <w:jc w:val="center"/>
            </w:pPr>
            <w:r/>
            <w:r>
              <w:rPr>
                <w:rFonts w:ascii="Arial" w:hAnsi="Arial"/>
                <w:b/>
                <w:i w:val="0"/>
                <w:color w:val="FFFFFF"/>
                <w:sz w:val="18"/>
              </w:rPr>
              <w:t>Value and implementation</w:t>
            </w:r>
          </w:p>
        </w:tc>
      </w:tr>
      <w:tr>
        <w:trPr>
          <w:cantSplit/>
        </w:trPr>
        <w:tc>
          <w:tcPr>
            <w:tcW w:type="dxa" w:w="4680"/>
            <w:shd w:fill="DDEBF7"/>
          </w:tcPr>
          <w:p>
            <w:pPr>
              <w:jc w:val="left"/>
            </w:pPr>
            <w:r/>
            <w:r>
              <w:rPr>
                <w:rFonts w:ascii="Arial" w:hAnsi="Arial"/>
                <w:b/>
                <w:i w:val="0"/>
                <w:sz w:val="17"/>
              </w:rPr>
              <w:t>Model and objective</w:t>
            </w:r>
          </w:p>
        </w:tc>
        <w:tc>
          <w:tcPr>
            <w:tcW w:type="dxa" w:w="4680"/>
          </w:tcPr>
          <w:p>
            <w:pPr>
              <w:jc w:val="left"/>
            </w:pPr>
            <w:r/>
            <w:r>
              <w:rPr>
                <w:rFonts w:ascii="Arial" w:hAnsi="Arial"/>
                <w:b w:val="0"/>
                <w:i w:val="0"/>
                <w:sz w:val="17"/>
              </w:rPr>
              <w:t>purple_bacteriav_DSM123.json; default biomass objective</w:t>
            </w:r>
          </w:p>
        </w:tc>
      </w:tr>
      <w:tr>
        <w:trPr>
          <w:cantSplit/>
        </w:trPr>
        <w:tc>
          <w:tcPr>
            <w:tcW w:type="dxa" w:w="4680"/>
            <w:shd w:fill="DDEBF7"/>
          </w:tcPr>
          <w:p>
            <w:pPr>
              <w:jc w:val="left"/>
            </w:pPr>
            <w:r/>
            <w:r>
              <w:rPr>
                <w:rFonts w:ascii="Arial" w:hAnsi="Arial"/>
                <w:b/>
                <w:i w:val="0"/>
                <w:sz w:val="17"/>
              </w:rPr>
              <w:t>Grid</w:t>
            </w:r>
          </w:p>
        </w:tc>
        <w:tc>
          <w:tcPr>
            <w:tcW w:type="dxa" w:w="4680"/>
          </w:tcPr>
          <w:p>
            <w:pPr>
              <w:jc w:val="left"/>
            </w:pPr>
            <w:r/>
            <w:r>
              <w:rPr>
                <w:rFonts w:ascii="Arial" w:hAnsi="Arial"/>
                <w:b w:val="0"/>
                <w:i w:val="0"/>
                <w:sz w:val="17"/>
              </w:rPr>
              <w:t>100 x 100 combinations</w:t>
            </w:r>
          </w:p>
        </w:tc>
      </w:tr>
      <w:tr>
        <w:trPr>
          <w:cantSplit/>
        </w:trPr>
        <w:tc>
          <w:tcPr>
            <w:tcW w:type="dxa" w:w="4680"/>
            <w:shd w:fill="DDEBF7"/>
          </w:tcPr>
          <w:p>
            <w:pPr>
              <w:jc w:val="left"/>
            </w:pPr>
            <w:r/>
            <w:r>
              <w:rPr>
                <w:rFonts w:ascii="Arial" w:hAnsi="Arial"/>
                <w:b/>
                <w:i w:val="0"/>
                <w:sz w:val="17"/>
              </w:rPr>
              <w:t>Formate uptake range</w:t>
            </w:r>
          </w:p>
        </w:tc>
        <w:tc>
          <w:tcPr>
            <w:tcW w:type="dxa" w:w="4680"/>
          </w:tcPr>
          <w:p>
            <w:pPr>
              <w:jc w:val="left"/>
            </w:pPr>
            <w:r/>
            <w:r>
              <w:rPr>
                <w:rFonts w:ascii="Arial" w:hAnsi="Arial"/>
                <w:b w:val="0"/>
                <w:i w:val="0"/>
                <w:sz w:val="17"/>
              </w:rPr>
              <w:t>1-12 mmol gDCW-1 h-1; EX_for_e lower bound = -formate value</w:t>
            </w:r>
          </w:p>
        </w:tc>
      </w:tr>
      <w:tr>
        <w:trPr>
          <w:cantSplit/>
        </w:trPr>
        <w:tc>
          <w:tcPr>
            <w:tcW w:type="dxa" w:w="4680"/>
            <w:shd w:fill="DDEBF7"/>
          </w:tcPr>
          <w:p>
            <w:pPr>
              <w:jc w:val="left"/>
            </w:pPr>
            <w:r/>
            <w:r>
              <w:rPr>
                <w:rFonts w:ascii="Arial" w:hAnsi="Arial"/>
                <w:b/>
                <w:i w:val="0"/>
                <w:sz w:val="17"/>
              </w:rPr>
              <w:t>Photon uptake range</w:t>
            </w:r>
          </w:p>
        </w:tc>
        <w:tc>
          <w:tcPr>
            <w:tcW w:type="dxa" w:w="4680"/>
          </w:tcPr>
          <w:p>
            <w:pPr>
              <w:jc w:val="left"/>
            </w:pPr>
            <w:r/>
            <w:r>
              <w:rPr>
                <w:rFonts w:ascii="Arial" w:hAnsi="Arial"/>
                <w:b w:val="0"/>
                <w:i w:val="0"/>
                <w:sz w:val="17"/>
              </w:rPr>
              <w:t>1-65 mmol gDCW-1 h-1; EX_photon_purple_e lower bound = -light value</w:t>
            </w:r>
          </w:p>
        </w:tc>
      </w:tr>
      <w:tr>
        <w:trPr>
          <w:cantSplit/>
        </w:trPr>
        <w:tc>
          <w:tcPr>
            <w:tcW w:type="dxa" w:w="4680"/>
            <w:shd w:fill="DDEBF7"/>
          </w:tcPr>
          <w:p>
            <w:pPr>
              <w:jc w:val="left"/>
            </w:pPr>
            <w:r/>
            <w:r>
              <w:rPr>
                <w:rFonts w:ascii="Arial" w:hAnsi="Arial"/>
                <w:b/>
                <w:i w:val="0"/>
                <w:sz w:val="17"/>
              </w:rPr>
              <w:t>Growth mask</w:t>
            </w:r>
          </w:p>
        </w:tc>
        <w:tc>
          <w:tcPr>
            <w:tcW w:type="dxa" w:w="4680"/>
          </w:tcPr>
          <w:p>
            <w:pPr>
              <w:jc w:val="left"/>
            </w:pPr>
            <w:r/>
            <w:r>
              <w:rPr>
                <w:rFonts w:ascii="Arial" w:hAnsi="Arial"/>
                <w:b w:val="0"/>
                <w:i w:val="0"/>
                <w:sz w:val="17"/>
              </w:rPr>
              <w:t>Cells with biomass objective &lt; 0.001 h-1 are masked</w:t>
            </w:r>
          </w:p>
        </w:tc>
      </w:tr>
      <w:tr>
        <w:trPr>
          <w:cantSplit/>
        </w:trPr>
        <w:tc>
          <w:tcPr>
            <w:tcW w:type="dxa" w:w="4680"/>
            <w:shd w:fill="DDEBF7"/>
          </w:tcPr>
          <w:p>
            <w:pPr>
              <w:jc w:val="left"/>
            </w:pPr>
            <w:r/>
            <w:r>
              <w:rPr>
                <w:rFonts w:ascii="Arial" w:hAnsi="Arial"/>
                <w:b/>
                <w:i w:val="0"/>
                <w:sz w:val="17"/>
              </w:rPr>
              <w:t>Efficiency metric</w:t>
            </w:r>
          </w:p>
        </w:tc>
        <w:tc>
          <w:tcPr>
            <w:tcW w:type="dxa" w:w="4680"/>
          </w:tcPr>
          <w:p>
            <w:pPr>
              <w:jc w:val="left"/>
            </w:pPr>
            <w:r/>
            <w:r>
              <w:rPr>
                <w:rFonts w:ascii="Arial" w:hAnsi="Arial"/>
                <w:b w:val="0"/>
                <w:i w:val="0"/>
                <w:sz w:val="17"/>
              </w:rPr>
              <w:t>v_RBPC / v_FDH when v_FDH &gt; 1 x 10-6; otherwise 0</w:t>
            </w:r>
          </w:p>
        </w:tc>
      </w:tr>
      <w:tr>
        <w:trPr>
          <w:cantSplit/>
        </w:trPr>
        <w:tc>
          <w:tcPr>
            <w:tcW w:type="dxa" w:w="4680"/>
            <w:shd w:fill="DDEBF7"/>
          </w:tcPr>
          <w:p>
            <w:pPr>
              <w:jc w:val="left"/>
            </w:pPr>
            <w:r/>
            <w:r>
              <w:rPr>
                <w:rFonts w:ascii="Arial" w:hAnsi="Arial"/>
                <w:b/>
                <w:i w:val="0"/>
                <w:sz w:val="17"/>
              </w:rPr>
              <w:t>Inflection criterion</w:t>
            </w:r>
          </w:p>
        </w:tc>
        <w:tc>
          <w:tcPr>
            <w:tcW w:type="dxa" w:w="4680"/>
          </w:tcPr>
          <w:p>
            <w:pPr>
              <w:jc w:val="left"/>
            </w:pPr>
            <w:r/>
            <w:r>
              <w:rPr>
                <w:rFonts w:ascii="Arial" w:hAnsi="Arial"/>
                <w:b w:val="0"/>
                <w:i w:val="0"/>
                <w:sz w:val="17"/>
              </w:rPr>
              <w:t>First light value reaching &gt;=99% of the row-specific maximum growth; rows with maximum growth &lt;0.01 h-1 are excluded</w:t>
            </w:r>
          </w:p>
        </w:tc>
      </w:tr>
      <w:tr>
        <w:trPr>
          <w:cantSplit/>
        </w:trPr>
        <w:tc>
          <w:tcPr>
            <w:tcW w:type="dxa" w:w="4680"/>
            <w:shd w:fill="DDEBF7"/>
          </w:tcPr>
          <w:p>
            <w:pPr>
              <w:jc w:val="left"/>
            </w:pPr>
            <w:r/>
            <w:r>
              <w:rPr>
                <w:rFonts w:ascii="Arial" w:hAnsi="Arial"/>
                <w:b/>
                <w:i w:val="0"/>
                <w:sz w:val="17"/>
              </w:rPr>
              <w:t>CO2 condition</w:t>
            </w:r>
          </w:p>
        </w:tc>
        <w:tc>
          <w:tcPr>
            <w:tcW w:type="dxa" w:w="4680"/>
          </w:tcPr>
          <w:p>
            <w:pPr>
              <w:jc w:val="left"/>
            </w:pPr>
            <w:r/>
            <w:r>
              <w:rPr>
                <w:rFonts w:ascii="Arial" w:hAnsi="Arial"/>
                <w:b w:val="0"/>
                <w:i w:val="0"/>
                <w:sz w:val="17"/>
              </w:rPr>
              <w:t>EX_co2_e remains reversible (-1000 to 1000); this scan is not an obligate-CO2-production test</w:t>
            </w:r>
          </w:p>
        </w:tc>
      </w:tr>
    </w:tbl>
    <w:p>
      <w:pPr>
        <w:widowControl/>
        <w:spacing w:after="60"/>
      </w:pPr>
    </w:p>
    <w:p>
      <w:pPr>
        <w:spacing w:before="60" w:after="120"/>
        <w:ind w:left="504" w:right="360"/>
        <w:jc w:val="left"/>
        <w:widowControl/>
        <w:shd w:fill="F2F2F2"/>
      </w:pPr>
      <w:r>
        <w:rPr>
          <w:rFonts w:ascii="Cambria Math" w:hAnsi="Cambria Math"/>
          <w:b w:val="0"/>
          <w:i/>
          <w:sz w:val="21"/>
        </w:rPr>
        <w:t>CCE proxy = v_RBPC / v_FDH</w:t>
      </w:r>
    </w:p>
    <w:p>
      <w:pPr>
        <w:spacing w:before="60" w:after="120"/>
        <w:ind w:left="504" w:right="360"/>
        <w:jc w:val="left"/>
        <w:widowControl/>
        <w:shd w:fill="F2F2F2"/>
      </w:pPr>
      <w:r>
        <w:rPr>
          <w:rFonts w:ascii="Cambria Math" w:hAnsi="Cambria Math"/>
          <w:b w:val="0"/>
          <w:i/>
          <w:sz w:val="21"/>
        </w:rPr>
        <w:t>Formate uptake at the fitted boundary = 0.19686 x Light uptake - 0.06623; R^2 = 0.99987</w:t>
      </w:r>
    </w:p>
    <w:p>
      <w:pPr>
        <w:pStyle w:val="Heading2"/>
        <w:keepNext/>
        <w:spacing w:before="140" w:after="80"/>
        <w:jc w:val="left"/>
      </w:pPr>
      <w:r>
        <w:rPr>
          <w:rFonts w:ascii="Arial" w:hAnsi="Arial"/>
          <w:b/>
          <w:i w:val="0"/>
          <w:color w:val="17365D"/>
          <w:sz w:val="24"/>
        </w:rPr>
        <w:t>3.3 Interpretation</w:t>
      </w:r>
    </w:p>
    <w:p>
      <w:pPr>
        <w:widowControl/>
        <w:spacing w:after="120" w:line="259" w:lineRule="auto"/>
        <w:jc w:val="left"/>
      </w:pPr>
      <w:r>
        <w:rPr>
          <w:rFonts w:ascii="Arial" w:hAnsi="Arial"/>
          <w:b w:val="0"/>
          <w:i w:val="0"/>
          <w:sz w:val="21"/>
        </w:rPr>
        <w:t>The growth heatmap identifies a co-limited low-formate/low-light region and a plateau where additional light no longer increases the row-specific maximum growth. The near-linear inflection boundary indicates a stable model-predicted relationship between formate uptake and photon demand over the scanned range.</w:t>
      </w:r>
    </w:p>
    <w:p>
      <w:pPr>
        <w:widowControl/>
        <w:spacing w:after="120" w:line="259" w:lineRule="auto"/>
        <w:jc w:val="left"/>
      </w:pPr>
      <w:r>
        <w:rPr>
          <w:rFonts w:ascii="Arial" w:hAnsi="Arial"/>
          <w:b w:val="0"/>
          <w:i w:val="0"/>
          <w:sz w:val="21"/>
        </w:rPr>
        <w:t>The second heatmap reports the RBPC/FDH flux ratio, which is a model flux-allocation proxy rather than an experimentally measured carbon yield. The dashed line marks the growth-saturation boundary fitted from the first heatmap and is overlaid on the efficiency panel as a reference for the transition between light-limited and formate-limited regimes.</w:t>
      </w:r>
    </w:p>
    <w:p>
      <w:pPr>
        <w:widowControl/>
        <w:spacing w:after="120" w:line="259" w:lineRule="auto"/>
        <w:jc w:val="left"/>
      </w:pPr>
      <w:r>
        <w:rPr>
          <w:rFonts w:ascii="Arial" w:hAnsi="Arial"/>
          <w:b/>
          <w:i w:val="0"/>
          <w:sz w:val="21"/>
        </w:rPr>
        <w:t>Interpretation limit:</w:t>
      </w:r>
      <w:r>
        <w:rPr>
          <w:rFonts w:ascii="Arial" w:hAnsi="Arial"/>
          <w:b w:val="0"/>
          <w:i w:val="0"/>
          <w:sz w:val="21"/>
        </w:rPr>
        <w:t xml:space="preserve"> because extracellular CO2 uptake is allowed in this scan, the result should be used to describe the model's formate-light operating space and stoichiometric transition, not to claim obligate formate-derived CO2 reassimilation.</w:t>
      </w:r>
    </w:p>
    <w:p>
      <w:pPr>
        <w:pStyle w:val="Heading1"/>
        <w:keepNext/>
        <w:spacing w:before="200" w:after="80"/>
        <w:jc w:val="left"/>
      </w:pPr>
      <w:r>
        <w:rPr>
          <w:rFonts w:ascii="Arial" w:hAnsi="Arial"/>
          <w:b/>
          <w:i w:val="0"/>
          <w:color w:val="17365D"/>
          <w:sz w:val="30"/>
        </w:rPr>
        <w:t>4. ForT kinetic sensitivity</w:t>
      </w:r>
    </w:p>
    <w:p>
      <w:pPr>
        <w:widowControl/>
        <w:spacing w:after="120"/>
        <w:jc w:val="left"/>
      </w:pPr>
      <w:r>
        <w:rPr>
          <w:rFonts w:ascii="Arial" w:hAnsi="Arial"/>
          <w:b w:val="0"/>
          <w:i/>
          <w:color w:val="666666"/>
          <w:sz w:val="18"/>
        </w:rPr>
        <w:t>Associated figure: mm_dfba_20mM_fort_parameter_sensitivity.svg</w:t>
      </w:r>
    </w:p>
    <w:p>
      <w:pPr>
        <w:pStyle w:val="Heading2"/>
        <w:keepNext/>
        <w:spacing w:before="140" w:after="80"/>
        <w:jc w:val="left"/>
      </w:pPr>
      <w:r>
        <w:rPr>
          <w:rFonts w:ascii="Arial" w:hAnsi="Arial"/>
          <w:b/>
          <w:i w:val="0"/>
          <w:color w:val="17365D"/>
          <w:sz w:val="24"/>
        </w:rPr>
        <w:t>4.1 Why this analysis was performed</w:t>
      </w:r>
    </w:p>
    <w:p>
      <w:pPr>
        <w:widowControl/>
        <w:spacing w:after="120" w:line="259" w:lineRule="auto"/>
        <w:jc w:val="left"/>
      </w:pPr>
      <w:r>
        <w:rPr>
          <w:rFonts w:ascii="Arial" w:hAnsi="Arial"/>
          <w:b w:val="0"/>
          <w:i w:val="0"/>
          <w:sz w:val="21"/>
        </w:rPr>
        <w:t>The active-transport dFBA result predicts strong dependence on ForT. The sensitivity experiment separates two mechanistically distinct explanations: reduced substrate affinity (Km) versus reduced maximal transporter capacity (Vmax).</w:t>
      </w:r>
    </w:p>
    <w:tbl>
      <w:tblPr>
        <w:tblW w:type="dxa" w:w="9360"/>
        <w:tblLayout w:type="fixed"/>
        <w:tblLook w:firstColumn="1" w:firstRow="1" w:lastColumn="0" w:lastRow="0" w:noHBand="0" w:noVBand="1" w:val="04A0"/>
        <w:jc w:val="center"/>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Ind w:w="120" w:type="dxa"/>
      </w:tblPr>
      <w:tblGrid>
        <w:gridCol w:w="4680"/>
        <w:gridCol w:w="4680"/>
      </w:tblGrid>
      <w:tr>
        <w:trPr>
          <w:tblHeader w:val="true"/>
        </w:trPr>
        <w:tc>
          <w:tcPr>
            <w:tcW w:type="dxa" w:w="2700"/>
            <w:tcMar>
              <w:top w:w="60" w:type="dxa"/>
              <w:start w:w="100" w:type="dxa"/>
              <w:bottom w:w="60" w:type="dxa"/>
              <w:end w:w="100" w:type="dxa"/>
            </w:tcMar>
            <w:vAlign w:val="center"/>
            <w:shd w:fill="17365D"/>
          </w:tcPr>
          <w:p>
            <w:pPr>
              <w:jc w:val="center"/>
            </w:pPr>
            <w:r/>
            <w:r>
              <w:rPr>
                <w:rFonts w:ascii="Arial" w:hAnsi="Arial"/>
                <w:b/>
                <w:i w:val="0"/>
                <w:color w:val="FFFFFF"/>
                <w:sz w:val="18"/>
              </w:rPr>
              <w:t>Code-defined parameter</w:t>
            </w:r>
          </w:p>
        </w:tc>
        <w:tc>
          <w:tcPr>
            <w:tcW w:type="dxa" w:w="6660"/>
            <w:tcMar>
              <w:top w:w="60" w:type="dxa"/>
              <w:start w:w="100" w:type="dxa"/>
              <w:bottom w:w="60" w:type="dxa"/>
              <w:end w:w="100" w:type="dxa"/>
            </w:tcMar>
            <w:vAlign w:val="center"/>
            <w:shd w:fill="17365D"/>
          </w:tcPr>
          <w:p>
            <w:pPr>
              <w:jc w:val="center"/>
            </w:pPr>
            <w:r/>
            <w:r>
              <w:rPr>
                <w:rFonts w:ascii="Arial" w:hAnsi="Arial"/>
                <w:b/>
                <w:i w:val="0"/>
                <w:color w:val="FFFFFF"/>
                <w:sz w:val="18"/>
              </w:rPr>
              <w:t>Value and implementation</w:t>
            </w:r>
          </w:p>
        </w:tc>
      </w:tr>
      <w:tr>
        <w:trPr>
          <w:cantSplit/>
        </w:trPr>
        <w:tc>
          <w:tcPr>
            <w:tcW w:type="dxa" w:w="4680"/>
            <w:shd w:fill="DDEBF7"/>
          </w:tcPr>
          <w:p>
            <w:pPr>
              <w:jc w:val="left"/>
            </w:pPr>
            <w:r/>
            <w:r>
              <w:rPr>
                <w:rFonts w:ascii="Arial" w:hAnsi="Arial"/>
                <w:b/>
                <w:i w:val="0"/>
                <w:sz w:val="17"/>
              </w:rPr>
              <w:t>Initial condition</w:t>
            </w:r>
          </w:p>
        </w:tc>
        <w:tc>
          <w:tcPr>
            <w:tcW w:type="dxa" w:w="4680"/>
          </w:tcPr>
          <w:p>
            <w:pPr>
              <w:jc w:val="left"/>
            </w:pPr>
            <w:r/>
            <w:r>
              <w:rPr>
                <w:rFonts w:ascii="Arial" w:hAnsi="Arial"/>
                <w:b w:val="0"/>
                <w:i w:val="0"/>
                <w:sz w:val="17"/>
              </w:rPr>
              <w:t>20 mM formate; 0.02 gDW L-1 biomass</w:t>
            </w:r>
          </w:p>
        </w:tc>
      </w:tr>
      <w:tr>
        <w:trPr>
          <w:cantSplit/>
        </w:trPr>
        <w:tc>
          <w:tcPr>
            <w:tcW w:type="dxa" w:w="4680"/>
            <w:shd w:fill="DDEBF7"/>
          </w:tcPr>
          <w:p>
            <w:pPr>
              <w:jc w:val="left"/>
            </w:pPr>
            <w:r/>
            <w:r>
              <w:rPr>
                <w:rFonts w:ascii="Arial" w:hAnsi="Arial"/>
                <w:b/>
                <w:i w:val="0"/>
                <w:sz w:val="17"/>
              </w:rPr>
              <w:t>Integration</w:t>
            </w:r>
          </w:p>
        </w:tc>
        <w:tc>
          <w:tcPr>
            <w:tcW w:type="dxa" w:w="4680"/>
          </w:tcPr>
          <w:p>
            <w:pPr>
              <w:jc w:val="left"/>
            </w:pPr>
            <w:r/>
            <w:r>
              <w:rPr>
                <w:rFonts w:ascii="Arial" w:hAnsi="Arial"/>
                <w:b w:val="0"/>
                <w:i w:val="0"/>
                <w:sz w:val="17"/>
              </w:rPr>
              <w:t>360 h; deltat = 1 h</w:t>
            </w:r>
          </w:p>
        </w:tc>
      </w:tr>
      <w:tr>
        <w:trPr>
          <w:cantSplit/>
        </w:trPr>
        <w:tc>
          <w:tcPr>
            <w:tcW w:type="dxa" w:w="4680"/>
            <w:shd w:fill="DDEBF7"/>
          </w:tcPr>
          <w:p>
            <w:pPr>
              <w:jc w:val="left"/>
            </w:pPr>
            <w:r/>
            <w:r>
              <w:rPr>
                <w:rFonts w:ascii="Arial" w:hAnsi="Arial"/>
                <w:b/>
                <w:i w:val="0"/>
                <w:sz w:val="17"/>
              </w:rPr>
              <w:t>Baseline ForT</w:t>
            </w:r>
          </w:p>
        </w:tc>
        <w:tc>
          <w:tcPr>
            <w:tcW w:type="dxa" w:w="4680"/>
          </w:tcPr>
          <w:p>
            <w:pPr>
              <w:jc w:val="left"/>
            </w:pPr>
            <w:r/>
            <w:r>
              <w:rPr>
                <w:rFonts w:ascii="Arial" w:hAnsi="Arial"/>
                <w:b w:val="0"/>
                <w:i w:val="0"/>
                <w:sz w:val="17"/>
              </w:rPr>
              <w:t>Km = 0.01814 mM; Vmax = 1.786555464 mmol gDW-1 h-1</w:t>
            </w:r>
          </w:p>
        </w:tc>
      </w:tr>
      <w:tr>
        <w:trPr>
          <w:cantSplit/>
        </w:trPr>
        <w:tc>
          <w:tcPr>
            <w:tcW w:type="dxa" w:w="4680"/>
            <w:shd w:fill="DDEBF7"/>
          </w:tcPr>
          <w:p>
            <w:pPr>
              <w:jc w:val="left"/>
            </w:pPr>
            <w:r/>
            <w:r>
              <w:rPr>
                <w:rFonts w:ascii="Arial" w:hAnsi="Arial"/>
                <w:b/>
                <w:i w:val="0"/>
                <w:sz w:val="17"/>
              </w:rPr>
              <w:t>Km multipliers</w:t>
            </w:r>
          </w:p>
        </w:tc>
        <w:tc>
          <w:tcPr>
            <w:tcW w:type="dxa" w:w="4680"/>
          </w:tcPr>
          <w:p>
            <w:pPr>
              <w:jc w:val="left"/>
            </w:pPr>
            <w:r/>
            <w:r>
              <w:rPr>
                <w:rFonts w:ascii="Arial" w:hAnsi="Arial"/>
                <w:b w:val="0"/>
                <w:i w:val="0"/>
                <w:sz w:val="17"/>
              </w:rPr>
              <w:t>0.1, 1, 10, 100 and 200x; actual Km = 0.001814, 0.01814, 0.1814, 1.814 and 3.628 mM</w:t>
            </w:r>
          </w:p>
        </w:tc>
      </w:tr>
      <w:tr>
        <w:trPr>
          <w:cantSplit/>
        </w:trPr>
        <w:tc>
          <w:tcPr>
            <w:tcW w:type="dxa" w:w="4680"/>
            <w:shd w:fill="DDEBF7"/>
          </w:tcPr>
          <w:p>
            <w:pPr>
              <w:jc w:val="left"/>
            </w:pPr>
            <w:r/>
            <w:r>
              <w:rPr>
                <w:rFonts w:ascii="Arial" w:hAnsi="Arial"/>
                <w:b/>
                <w:i w:val="0"/>
                <w:sz w:val="17"/>
              </w:rPr>
              <w:t>Vmax multipliers</w:t>
            </w:r>
          </w:p>
        </w:tc>
        <w:tc>
          <w:tcPr>
            <w:tcW w:type="dxa" w:w="4680"/>
          </w:tcPr>
          <w:p>
            <w:pPr>
              <w:jc w:val="left"/>
            </w:pPr>
            <w:r/>
            <w:r>
              <w:rPr>
                <w:rFonts w:ascii="Arial" w:hAnsi="Arial"/>
                <w:b w:val="0"/>
                <w:i w:val="0"/>
                <w:sz w:val="17"/>
              </w:rPr>
              <w:t>0.01, 0.05, 0.1, 0.2, 0.5 and 1x; Km fixed at 0.01814 mM</w:t>
            </w:r>
          </w:p>
        </w:tc>
      </w:tr>
      <w:tr>
        <w:trPr>
          <w:cantSplit/>
        </w:trPr>
        <w:tc>
          <w:tcPr>
            <w:tcW w:type="dxa" w:w="4680"/>
            <w:shd w:fill="DDEBF7"/>
          </w:tcPr>
          <w:p>
            <w:pPr>
              <w:jc w:val="left"/>
            </w:pPr>
            <w:r/>
            <w:r>
              <w:rPr>
                <w:rFonts w:ascii="Arial" w:hAnsi="Arial"/>
                <w:b/>
                <w:i w:val="0"/>
                <w:sz w:val="17"/>
              </w:rPr>
              <w:t>Displayed outputs</w:t>
            </w:r>
          </w:p>
        </w:tc>
        <w:tc>
          <w:tcPr>
            <w:tcW w:type="dxa" w:w="4680"/>
          </w:tcPr>
          <w:p>
            <w:pPr>
              <w:jc w:val="left"/>
            </w:pPr>
            <w:r/>
            <w:r>
              <w:rPr>
                <w:rFonts w:ascii="Arial" w:hAnsi="Arial"/>
                <w:b w:val="0"/>
                <w:i w:val="0"/>
                <w:sz w:val="17"/>
              </w:rPr>
              <w:t>Solid curves: biomass; dashed curves: formate remaining</w:t>
            </w:r>
          </w:p>
        </w:tc>
      </w:tr>
    </w:tbl>
    <w:p>
      <w:pPr>
        <w:widowControl/>
        <w:spacing w:after="60"/>
      </w:pPr>
    </w:p>
    <w:p>
      <w:pPr>
        <w:pStyle w:val="Heading2"/>
        <w:keepNext/>
        <w:spacing w:before="140" w:after="80"/>
        <w:jc w:val="left"/>
      </w:pPr>
      <w:r>
        <w:rPr>
          <w:rFonts w:ascii="Arial" w:hAnsi="Arial"/>
          <w:b/>
          <w:i w:val="0"/>
          <w:color w:val="17365D"/>
          <w:sz w:val="24"/>
        </w:rPr>
        <w:t>4.2 Interpretation</w:t>
      </w:r>
    </w:p>
    <w:p>
      <w:pPr>
        <w:widowControl/>
        <w:spacing w:after="120" w:line="259" w:lineRule="auto"/>
        <w:jc w:val="left"/>
      </w:pPr>
      <w:r>
        <w:rPr>
          <w:rFonts w:ascii="Arial" w:hAnsi="Arial"/>
          <w:b w:val="0"/>
          <w:i w:val="0"/>
          <w:sz w:val="21"/>
        </w:rPr>
        <w:t>Changing Km from 0.1x to 200x produces little change in final biomass under 20 mM initial formate. This follows directly from the Michaelis-Menten saturation term: the initial formate concentration greatly exceeds the baseline Km and remains sufficient to maintain substantial saturation even for the largest tested Km during most of the growth phase.</w:t>
      </w:r>
    </w:p>
    <w:p>
      <w:pPr>
        <w:widowControl/>
        <w:spacing w:after="120" w:line="259" w:lineRule="auto"/>
        <w:jc w:val="left"/>
      </w:pPr>
      <w:r>
        <w:rPr>
          <w:rFonts w:ascii="Arial" w:hAnsi="Arial"/>
          <w:b w:val="0"/>
          <w:i w:val="0"/>
          <w:sz w:val="21"/>
        </w:rPr>
        <w:t>By contrast, Vmax directly scales the maximum uptake capacity. Final biomass increases from 0.0231 gDW L-1 at 0.01x to 0.3505 gDW L-1 at 0.2x, while 0.5x and 1x both reach approximately 0.4613 gDW L-1 and exhaust the supplied formate. The response therefore identifies a transport-capacity-limited regime below approximately 0.5x and a high-capacity plateau where downstream constraints replace ForT as the dominant limitation.</w:t>
      </w:r>
    </w:p>
    <w:p>
      <w:pPr>
        <w:widowControl/>
        <w:spacing w:after="120" w:line="259" w:lineRule="auto"/>
        <w:jc w:val="left"/>
      </w:pPr>
      <w:r>
        <w:rPr>
          <w:rFonts w:ascii="Arial" w:hAnsi="Arial"/>
          <w:b w:val="0"/>
          <w:i w:val="0"/>
          <w:sz w:val="21"/>
        </w:rPr>
        <w:t>The simulation supports the statement that transporter abundance or catalytic capacity is more influential than modest affinity variation under high-formate conditions. It does not imply that Km is irrelevant at low environmental formate concentrations, which were not tested in this panel.</w:t>
      </w:r>
    </w:p>
    <w:p>
      <w:pPr>
        <w:pStyle w:val="Heading1"/>
        <w:keepNext/>
        <w:spacing w:before="200" w:after="80"/>
        <w:jc w:val="left"/>
      </w:pPr>
      <w:r>
        <w:rPr>
          <w:rFonts w:ascii="Arial" w:hAnsi="Arial"/>
          <w:b/>
          <w:i w:val="0"/>
          <w:color w:val="17365D"/>
          <w:sz w:val="30"/>
        </w:rPr>
        <w:t>5. Loopless flux variability analysis</w:t>
      </w:r>
    </w:p>
    <w:p>
      <w:pPr>
        <w:widowControl/>
        <w:spacing w:after="120"/>
        <w:jc w:val="left"/>
      </w:pPr>
      <w:r>
        <w:rPr>
          <w:rFonts w:ascii="Arial" w:hAnsi="Arial"/>
          <w:b w:val="0"/>
          <w:i/>
          <w:color w:val="666666"/>
          <w:sz w:val="18"/>
        </w:rPr>
        <w:t>Associated figure: mm_fva_transport_gated_carbon_flux_capacity_loopless_filtered.svg</w:t>
      </w:r>
    </w:p>
    <w:p>
      <w:pPr>
        <w:pStyle w:val="Heading2"/>
        <w:keepNext/>
        <w:spacing w:before="140" w:after="80"/>
        <w:jc w:val="left"/>
      </w:pPr>
      <w:r>
        <w:rPr>
          <w:rFonts w:ascii="Arial" w:hAnsi="Arial"/>
          <w:b/>
          <w:i w:val="0"/>
          <w:color w:val="17365D"/>
          <w:sz w:val="24"/>
        </w:rPr>
        <w:t>5.1 Why this analysis was performed</w:t>
      </w:r>
    </w:p>
    <w:p>
      <w:pPr>
        <w:widowControl/>
        <w:spacing w:after="120" w:line="259" w:lineRule="auto"/>
        <w:jc w:val="left"/>
      </w:pPr>
      <w:r>
        <w:rPr>
          <w:rFonts w:ascii="Arial" w:hAnsi="Arial"/>
          <w:b w:val="0"/>
          <w:i w:val="0"/>
          <w:sz w:val="21"/>
        </w:rPr>
        <w:t>A single optimal dFBA solution cannot distinguish a uniquely required flux from one of many alternative near-optimal solutions. Loopless FVA was therefore used to determine how ForT capacity changes the feasible ranges of uptake, oxidation, carbon fixation and central-carbon reactions while retaining near-optimal growth.</w:t>
      </w:r>
    </w:p>
    <w:tbl>
      <w:tblPr>
        <w:tblW w:type="dxa" w:w="9360"/>
        <w:tblLayout w:type="fixed"/>
        <w:tblLook w:firstColumn="1" w:firstRow="1" w:lastColumn="0" w:lastRow="0" w:noHBand="0" w:noVBand="1" w:val="04A0"/>
        <w:jc w:val="center"/>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Ind w:w="120" w:type="dxa"/>
      </w:tblPr>
      <w:tblGrid>
        <w:gridCol w:w="4680"/>
        <w:gridCol w:w="4680"/>
      </w:tblGrid>
      <w:tr>
        <w:trPr>
          <w:tblHeader w:val="true"/>
        </w:trPr>
        <w:tc>
          <w:tcPr>
            <w:tcW w:type="dxa" w:w="2700"/>
            <w:tcMar>
              <w:top w:w="60" w:type="dxa"/>
              <w:start w:w="100" w:type="dxa"/>
              <w:bottom w:w="60" w:type="dxa"/>
              <w:end w:w="100" w:type="dxa"/>
            </w:tcMar>
            <w:vAlign w:val="center"/>
            <w:shd w:fill="17365D"/>
          </w:tcPr>
          <w:p>
            <w:pPr>
              <w:jc w:val="center"/>
            </w:pPr>
            <w:r/>
            <w:r>
              <w:rPr>
                <w:rFonts w:ascii="Arial" w:hAnsi="Arial"/>
                <w:b/>
                <w:i w:val="0"/>
                <w:color w:val="FFFFFF"/>
                <w:sz w:val="18"/>
              </w:rPr>
              <w:t>Code-defined parameter</w:t>
            </w:r>
          </w:p>
        </w:tc>
        <w:tc>
          <w:tcPr>
            <w:tcW w:type="dxa" w:w="6660"/>
            <w:tcMar>
              <w:top w:w="60" w:type="dxa"/>
              <w:start w:w="100" w:type="dxa"/>
              <w:bottom w:w="60" w:type="dxa"/>
              <w:end w:w="100" w:type="dxa"/>
            </w:tcMar>
            <w:vAlign w:val="center"/>
            <w:shd w:fill="17365D"/>
          </w:tcPr>
          <w:p>
            <w:pPr>
              <w:jc w:val="center"/>
            </w:pPr>
            <w:r/>
            <w:r>
              <w:rPr>
                <w:rFonts w:ascii="Arial" w:hAnsi="Arial"/>
                <w:b/>
                <w:i w:val="0"/>
                <w:color w:val="FFFFFF"/>
                <w:sz w:val="18"/>
              </w:rPr>
              <w:t>Value and implementation</w:t>
            </w:r>
          </w:p>
        </w:tc>
      </w:tr>
      <w:tr>
        <w:trPr>
          <w:cantSplit/>
        </w:trPr>
        <w:tc>
          <w:tcPr>
            <w:tcW w:type="dxa" w:w="4680"/>
            <w:shd w:fill="DDEBF7"/>
          </w:tcPr>
          <w:p>
            <w:pPr>
              <w:jc w:val="left"/>
            </w:pPr>
            <w:r/>
            <w:r>
              <w:rPr>
                <w:rFonts w:ascii="Arial" w:hAnsi="Arial"/>
                <w:b/>
                <w:i w:val="0"/>
                <w:sz w:val="17"/>
              </w:rPr>
              <w:t>Formate state</w:t>
            </w:r>
          </w:p>
        </w:tc>
        <w:tc>
          <w:tcPr>
            <w:tcW w:type="dxa" w:w="4680"/>
          </w:tcPr>
          <w:p>
            <w:pPr>
              <w:jc w:val="left"/>
            </w:pPr>
            <w:r/>
            <w:r>
              <w:rPr>
                <w:rFonts w:ascii="Arial" w:hAnsi="Arial"/>
                <w:b w:val="0"/>
                <w:i w:val="0"/>
                <w:sz w:val="17"/>
              </w:rPr>
              <w:t>20 mM; FVA evaluated at the initial concentration state</w:t>
            </w:r>
          </w:p>
        </w:tc>
      </w:tr>
      <w:tr>
        <w:trPr>
          <w:cantSplit/>
        </w:trPr>
        <w:tc>
          <w:tcPr>
            <w:tcW w:type="dxa" w:w="4680"/>
            <w:shd w:fill="DDEBF7"/>
          </w:tcPr>
          <w:p>
            <w:pPr>
              <w:jc w:val="left"/>
            </w:pPr>
            <w:r/>
            <w:r>
              <w:rPr>
                <w:rFonts w:ascii="Arial" w:hAnsi="Arial"/>
                <w:b/>
                <w:i w:val="0"/>
                <w:sz w:val="17"/>
              </w:rPr>
              <w:t>ForT Vmax multipliers</w:t>
            </w:r>
          </w:p>
        </w:tc>
        <w:tc>
          <w:tcPr>
            <w:tcW w:type="dxa" w:w="4680"/>
          </w:tcPr>
          <w:p>
            <w:pPr>
              <w:jc w:val="left"/>
            </w:pPr>
            <w:r/>
            <w:r>
              <w:rPr>
                <w:rFonts w:ascii="Arial" w:hAnsi="Arial"/>
                <w:b w:val="0"/>
                <w:i w:val="0"/>
                <w:sz w:val="17"/>
              </w:rPr>
              <w:t>0.01, 0.05, 0.1, 0.2, 0.5 and 1x</w:t>
            </w:r>
          </w:p>
        </w:tc>
      </w:tr>
      <w:tr>
        <w:trPr>
          <w:cantSplit/>
        </w:trPr>
        <w:tc>
          <w:tcPr>
            <w:tcW w:type="dxa" w:w="4680"/>
            <w:shd w:fill="DDEBF7"/>
          </w:tcPr>
          <w:p>
            <w:pPr>
              <w:jc w:val="left"/>
            </w:pPr>
            <w:r/>
            <w:r>
              <w:rPr>
                <w:rFonts w:ascii="Arial" w:hAnsi="Arial"/>
                <w:b/>
                <w:i w:val="0"/>
                <w:sz w:val="17"/>
              </w:rPr>
              <w:t>Growth requirement</w:t>
            </w:r>
          </w:p>
        </w:tc>
        <w:tc>
          <w:tcPr>
            <w:tcW w:type="dxa" w:w="4680"/>
          </w:tcPr>
          <w:p>
            <w:pPr>
              <w:jc w:val="left"/>
            </w:pPr>
            <w:r/>
            <w:r>
              <w:rPr>
                <w:rFonts w:ascii="Arial" w:hAnsi="Arial"/>
                <w:b w:val="0"/>
                <w:i w:val="0"/>
                <w:sz w:val="17"/>
              </w:rPr>
              <w:t>fraction_of_optimum = 0.90</w:t>
            </w:r>
          </w:p>
        </w:tc>
      </w:tr>
      <w:tr>
        <w:trPr>
          <w:cantSplit/>
        </w:trPr>
        <w:tc>
          <w:tcPr>
            <w:tcW w:type="dxa" w:w="4680"/>
            <w:shd w:fill="DDEBF7"/>
          </w:tcPr>
          <w:p>
            <w:pPr>
              <w:jc w:val="left"/>
            </w:pPr>
            <w:r/>
            <w:r>
              <w:rPr>
                <w:rFonts w:ascii="Arial" w:hAnsi="Arial"/>
                <w:b/>
                <w:i w:val="0"/>
                <w:sz w:val="17"/>
              </w:rPr>
              <w:t>FVA algorithm</w:t>
            </w:r>
          </w:p>
        </w:tc>
        <w:tc>
          <w:tcPr>
            <w:tcW w:type="dxa" w:w="4680"/>
          </w:tcPr>
          <w:p>
            <w:pPr>
              <w:jc w:val="left"/>
            </w:pPr>
            <w:r/>
            <w:r>
              <w:rPr>
                <w:rFonts w:ascii="Arial" w:hAnsi="Arial"/>
                <w:b w:val="0"/>
                <w:i w:val="0"/>
                <w:sz w:val="17"/>
              </w:rPr>
              <w:t>COBRA loopless FVA; processes = 1</w:t>
            </w:r>
          </w:p>
        </w:tc>
      </w:tr>
      <w:tr>
        <w:trPr>
          <w:cantSplit/>
        </w:trPr>
        <w:tc>
          <w:tcPr>
            <w:tcW w:type="dxa" w:w="4680"/>
            <w:shd w:fill="DDEBF7"/>
          </w:tcPr>
          <w:p>
            <w:pPr>
              <w:jc w:val="left"/>
            </w:pPr>
            <w:r/>
            <w:r>
              <w:rPr>
                <w:rFonts w:ascii="Arial" w:hAnsi="Arial"/>
                <w:b/>
                <w:i w:val="0"/>
                <w:sz w:val="17"/>
              </w:rPr>
              <w:t>External CO2</w:t>
            </w:r>
          </w:p>
        </w:tc>
        <w:tc>
          <w:tcPr>
            <w:tcW w:type="dxa" w:w="4680"/>
          </w:tcPr>
          <w:p>
            <w:pPr>
              <w:jc w:val="left"/>
            </w:pPr>
            <w:r/>
            <w:r>
              <w:rPr>
                <w:rFonts w:ascii="Arial" w:hAnsi="Arial"/>
                <w:b w:val="0"/>
                <w:i w:val="0"/>
                <w:sz w:val="17"/>
              </w:rPr>
              <w:t>Uptake blocked by setting EX_co2_e lower bound to 0</w:t>
            </w:r>
          </w:p>
        </w:tc>
      </w:tr>
      <w:tr>
        <w:trPr>
          <w:cantSplit/>
        </w:trPr>
        <w:tc>
          <w:tcPr>
            <w:tcW w:type="dxa" w:w="4680"/>
            <w:shd w:fill="DDEBF7"/>
          </w:tcPr>
          <w:p>
            <w:pPr>
              <w:jc w:val="left"/>
            </w:pPr>
            <w:r/>
            <w:r>
              <w:rPr>
                <w:rFonts w:ascii="Arial" w:hAnsi="Arial"/>
                <w:b/>
                <w:i w:val="0"/>
                <w:sz w:val="17"/>
              </w:rPr>
              <w:t>Photon bound</w:t>
            </w:r>
          </w:p>
        </w:tc>
        <w:tc>
          <w:tcPr>
            <w:tcW w:type="dxa" w:w="4680"/>
          </w:tcPr>
          <w:p>
            <w:pPr>
              <w:jc w:val="left"/>
            </w:pPr>
            <w:r/>
            <w:r>
              <w:rPr>
                <w:rFonts w:ascii="Arial" w:hAnsi="Arial"/>
                <w:b w:val="0"/>
                <w:i w:val="0"/>
                <w:sz w:val="17"/>
              </w:rPr>
              <w:t>EX_photon_purple_e = -60 to 0 mmol gDW-1 h-1</w:t>
            </w:r>
          </w:p>
        </w:tc>
      </w:tr>
      <w:tr>
        <w:trPr>
          <w:cantSplit/>
        </w:trPr>
        <w:tc>
          <w:tcPr>
            <w:tcW w:type="dxa" w:w="4680"/>
            <w:shd w:fill="DDEBF7"/>
          </w:tcPr>
          <w:p>
            <w:pPr>
              <w:jc w:val="left"/>
            </w:pPr>
            <w:r/>
            <w:r>
              <w:rPr>
                <w:rFonts w:ascii="Arial" w:hAnsi="Arial"/>
                <w:b/>
                <w:i w:val="0"/>
                <w:sz w:val="17"/>
              </w:rPr>
              <w:t>RuBisCO representative</w:t>
            </w:r>
          </w:p>
        </w:tc>
        <w:tc>
          <w:tcPr>
            <w:tcW w:type="dxa" w:w="4680"/>
          </w:tcPr>
          <w:p>
            <w:pPr>
              <w:jc w:val="left"/>
            </w:pPr>
            <w:r/>
            <w:r>
              <w:rPr>
                <w:rFonts w:ascii="Arial" w:hAnsi="Arial"/>
                <w:b w:val="0"/>
                <w:i w:val="0"/>
                <w:sz w:val="17"/>
              </w:rPr>
              <w:t>RBPCcx retained; RBPC and RBCh disabled</w:t>
            </w:r>
          </w:p>
        </w:tc>
      </w:tr>
      <w:tr>
        <w:trPr>
          <w:cantSplit/>
        </w:trPr>
        <w:tc>
          <w:tcPr>
            <w:tcW w:type="dxa" w:w="4680"/>
            <w:shd w:fill="DDEBF7"/>
          </w:tcPr>
          <w:p>
            <w:pPr>
              <w:jc w:val="left"/>
            </w:pPr>
            <w:r/>
            <w:r>
              <w:rPr>
                <w:rFonts w:ascii="Arial" w:hAnsi="Arial"/>
                <w:b/>
                <w:i w:val="0"/>
                <w:sz w:val="17"/>
              </w:rPr>
              <w:t>Duplicate handling</w:t>
            </w:r>
          </w:p>
        </w:tc>
        <w:tc>
          <w:tcPr>
            <w:tcW w:type="dxa" w:w="4680"/>
          </w:tcPr>
          <w:p>
            <w:pPr>
              <w:jc w:val="left"/>
            </w:pPr>
            <w:r/>
            <w:r>
              <w:rPr>
                <w:rFonts w:ascii="Arial" w:hAnsi="Arial"/>
                <w:b w:val="0"/>
                <w:i w:val="0"/>
                <w:sz w:val="17"/>
              </w:rPr>
              <w:t>PGK_1, GAPDi_nadp, ACONTa and ACONTb disabled; PGK, GAPD and ACONT retained</w:t>
            </w:r>
          </w:p>
        </w:tc>
      </w:tr>
      <w:tr>
        <w:trPr>
          <w:cantSplit/>
        </w:trPr>
        <w:tc>
          <w:tcPr>
            <w:tcW w:type="dxa" w:w="4680"/>
            <w:shd w:fill="DDEBF7"/>
          </w:tcPr>
          <w:p>
            <w:pPr>
              <w:jc w:val="left"/>
            </w:pPr>
            <w:r/>
            <w:r>
              <w:rPr>
                <w:rFonts w:ascii="Arial" w:hAnsi="Arial"/>
                <w:b/>
                <w:i w:val="0"/>
                <w:sz w:val="17"/>
              </w:rPr>
              <w:t>CS handling</w:t>
            </w:r>
          </w:p>
        </w:tc>
        <w:tc>
          <w:tcPr>
            <w:tcW w:type="dxa" w:w="4680"/>
          </w:tcPr>
          <w:p>
            <w:pPr>
              <w:jc w:val="left"/>
            </w:pPr>
            <w:r/>
            <w:r>
              <w:rPr>
                <w:rFonts w:ascii="Arial" w:hAnsi="Arial"/>
                <w:b w:val="0"/>
                <w:i w:val="0"/>
                <w:sz w:val="17"/>
              </w:rPr>
              <w:t>CS retained as the unique modeled citrate-synthase entry into TCA metabolism</w:t>
            </w:r>
          </w:p>
        </w:tc>
      </w:tr>
    </w:tbl>
    <w:p>
      <w:pPr>
        <w:widowControl/>
        <w:spacing w:after="60"/>
      </w:pPr>
    </w:p>
    <w:p>
      <w:pPr>
        <w:spacing w:before="60" w:after="120"/>
        <w:ind w:left="504" w:right="360"/>
        <w:jc w:val="left"/>
        <w:widowControl/>
        <w:shd w:fill="F2F2F2"/>
      </w:pPr>
      <w:r>
        <w:rPr>
          <w:rFonts w:ascii="Cambria Math" w:hAnsi="Cambria Math"/>
          <w:b w:val="0"/>
          <w:i/>
          <w:sz w:val="21"/>
        </w:rPr>
        <w:t>FVA width_r,j = feasible maximum_r,j - feasible minimum_r,j</w:t>
      </w:r>
    </w:p>
    <w:p>
      <w:pPr>
        <w:spacing w:before="60" w:after="120"/>
        <w:ind w:left="504" w:right="360"/>
        <w:jc w:val="left"/>
        <w:widowControl/>
        <w:shd w:fill="F2F2F2"/>
      </w:pPr>
      <w:r>
        <w:rPr>
          <w:rFonts w:ascii="Cambria Math" w:hAnsi="Cambria Math"/>
          <w:b w:val="0"/>
          <w:i/>
          <w:sz w:val="21"/>
        </w:rPr>
        <w:t>Normalized width_r,j = FVA width_r,j / max_j(FVA width_r,j)</w:t>
      </w:r>
    </w:p>
    <w:p>
      <w:pPr>
        <w:pStyle w:val="Heading2"/>
        <w:keepNext/>
        <w:spacing w:before="140" w:after="80"/>
        <w:jc w:val="left"/>
      </w:pPr>
      <w:r>
        <w:rPr>
          <w:rFonts w:ascii="Arial" w:hAnsi="Arial"/>
          <w:b/>
          <w:i w:val="0"/>
          <w:color w:val="17365D"/>
          <w:sz w:val="24"/>
        </w:rPr>
        <w:t>5.2 Interpretation of Panel A</w:t>
      </w:r>
    </w:p>
    <w:p>
      <w:pPr>
        <w:widowControl/>
        <w:spacing w:after="120" w:line="259" w:lineRule="auto"/>
        <w:jc w:val="left"/>
      </w:pPr>
      <w:r>
        <w:rPr>
          <w:rFonts w:ascii="Arial" w:hAnsi="Arial"/>
          <w:b w:val="0"/>
          <w:i w:val="0"/>
          <w:sz w:val="21"/>
        </w:rPr>
        <w:t>Biomass, formate uptake and FDH feasible ranges rise with ForT capacity between 0.01x and 0.5x. Biomass and FDH then plateau between 0.5x and 1x, indicating that additional transporter capacity no longer increases their near-optimal demand. RBPCcx exhibits a broader feasible range than its growth-optimal flux, but both the lower bound and optimum increase as ForT capacity rises, supporting coupling between formate entry and carboxylation demand.</w:t>
      </w:r>
    </w:p>
    <w:p>
      <w:pPr>
        <w:widowControl/>
        <w:spacing w:after="120" w:line="259" w:lineRule="auto"/>
        <w:jc w:val="left"/>
      </w:pPr>
      <w:r>
        <w:rPr>
          <w:rFonts w:ascii="Arial" w:hAnsi="Arial"/>
          <w:b w:val="0"/>
          <w:i w:val="0"/>
          <w:sz w:val="21"/>
        </w:rPr>
        <w:t>At 1x ForT, the formate uptake maximum continues to increase while the growth-optimal uptake remains approximately 0.675 mmol gDW-1 h-1. The widened uptake range reflects excess transporter capacity relative to the near-optimal metabolic demand; it should not be interpreted as higher predicted uptake in the optimal solution.</w:t>
      </w:r>
    </w:p>
    <w:p>
      <w:pPr>
        <w:pStyle w:val="Heading2"/>
        <w:keepNext/>
        <w:spacing w:before="140" w:after="80"/>
        <w:jc w:val="left"/>
      </w:pPr>
      <w:r>
        <w:rPr>
          <w:rFonts w:ascii="Arial" w:hAnsi="Arial"/>
          <w:b/>
          <w:i w:val="0"/>
          <w:color w:val="17365D"/>
          <w:sz w:val="24"/>
        </w:rPr>
        <w:t>5.3 Interpretation of Panel B</w:t>
      </w:r>
    </w:p>
    <w:p>
      <w:pPr>
        <w:widowControl/>
        <w:spacing w:after="120" w:line="259" w:lineRule="auto"/>
        <w:jc w:val="left"/>
      </w:pPr>
      <w:r>
        <w:rPr>
          <w:rFonts w:ascii="Arial" w:hAnsi="Arial"/>
          <w:b w:val="0"/>
          <w:i w:val="0"/>
          <w:sz w:val="21"/>
        </w:rPr>
        <w:t>Each heatmap row is normalized independently. Colors therefore describe how the feasible width of one reaction changes across ForT conditions, but absolute colors cannot be compared between different reactions. A value of 1 marks that reaction's largest width among the tested ForT capacities; it does not mean that the reaction is dispensable or unconstrained in an absolute sense.</w:t>
      </w:r>
    </w:p>
    <w:p>
      <w:pPr>
        <w:widowControl/>
        <w:spacing w:after="120" w:line="259" w:lineRule="auto"/>
        <w:jc w:val="left"/>
      </w:pPr>
      <w:r>
        <w:rPr>
          <w:rFonts w:ascii="Arial" w:hAnsi="Arial"/>
          <w:b w:val="0"/>
          <w:i w:val="0"/>
          <w:sz w:val="21"/>
        </w:rPr>
        <w:t>The positive minimum fluxes of CS, ACONT and ICDHyr increase with ForT capacity, establishing a required TCA entry flux at 90% optimal growth. Their large upper ranges arise because the model permits additional TCA throughput above the minimum requirement. After ACONTb is disabled, icit_c consumed by ICDHyr is supplied through ACONT, and citrate consumed by ACONT is supplied through CS under the closed-citrate-uptake condition. Thus, the broad CS width is compatible with CS being required.</w:t>
      </w:r>
    </w:p>
    <w:p>
      <w:pPr>
        <w:widowControl/>
        <w:spacing w:after="120" w:line="259" w:lineRule="auto"/>
        <w:jc w:val="left"/>
      </w:pPr>
      <w:r>
        <w:rPr>
          <w:rFonts w:ascii="Arial" w:hAnsi="Arial"/>
          <w:b w:val="0"/>
          <w:i w:val="0"/>
          <w:sz w:val="21"/>
        </w:rPr>
        <w:t>Rows such as PGK and GAPD that remain near 1 across all ForT conditions indicate a broad width that is relatively insensitive to transporter capacity after duplicate reactions are removed. This is a statement about transport coupling, not reaction essentiality.</w:t>
      </w:r>
    </w:p>
    <w:p>
      <w:pPr>
        <w:pStyle w:val="Heading1"/>
        <w:keepNext/>
        <w:spacing w:before="200" w:after="80"/>
        <w:jc w:val="left"/>
      </w:pPr>
      <w:r>
        <w:rPr>
          <w:rFonts w:ascii="Arial" w:hAnsi="Arial"/>
          <w:b/>
          <w:i w:val="0"/>
          <w:color w:val="17365D"/>
          <w:sz w:val="30"/>
        </w:rPr>
        <w:t>6. Module capacity scaling</w:t>
      </w:r>
    </w:p>
    <w:p>
      <w:pPr>
        <w:widowControl/>
        <w:spacing w:after="120"/>
        <w:jc w:val="left"/>
      </w:pPr>
      <w:r>
        <w:rPr>
          <w:rFonts w:ascii="Arial" w:hAnsi="Arial"/>
          <w:b w:val="0"/>
          <w:i/>
          <w:color w:val="666666"/>
          <w:sz w:val="18"/>
        </w:rPr>
        <w:t>Associated figure: mm_dfba_module_capacity_scaling_response_heatmap_CS_standard.svg</w:t>
      </w:r>
    </w:p>
    <w:p>
      <w:pPr>
        <w:pStyle w:val="Heading2"/>
        <w:keepNext/>
        <w:spacing w:before="140" w:after="80"/>
        <w:jc w:val="left"/>
      </w:pPr>
      <w:r>
        <w:rPr>
          <w:rFonts w:ascii="Arial" w:hAnsi="Arial"/>
          <w:b/>
          <w:i w:val="0"/>
          <w:color w:val="17365D"/>
          <w:sz w:val="24"/>
        </w:rPr>
        <w:t>6.1 Why this analysis was performed</w:t>
      </w:r>
    </w:p>
    <w:p>
      <w:pPr>
        <w:widowControl/>
        <w:spacing w:after="120" w:line="259" w:lineRule="auto"/>
        <w:jc w:val="left"/>
      </w:pPr>
      <w:r>
        <w:rPr>
          <w:rFonts w:ascii="Arial" w:hAnsi="Arial"/>
          <w:b w:val="0"/>
          <w:i w:val="0"/>
          <w:sz w:val="21"/>
        </w:rPr>
        <w:t>The ForT sensitivity and FVA analyses establish transporter gating but do not identify which downstream module becomes limiting after transport is restored. A factorial module-scaling experiment was therefore performed to compare transporter, oxidation, fixation, TCA, cyclic-electron-flow and photon capacities under multiple ForT backgrounds.</w:t>
      </w:r>
    </w:p>
    <w:tbl>
      <w:tblPr>
        <w:tblW w:type="dxa" w:w="9360"/>
        <w:tblLayout w:type="fixed"/>
        <w:tblLook w:firstColumn="1" w:firstRow="1" w:lastColumn="0" w:lastRow="0" w:noHBand="0" w:noVBand="1" w:val="04A0"/>
        <w:jc w:val="center"/>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Ind w:w="120" w:type="dxa"/>
      </w:tblPr>
      <w:tblGrid>
        <w:gridCol w:w="4680"/>
        <w:gridCol w:w="4680"/>
      </w:tblGrid>
      <w:tr>
        <w:trPr>
          <w:tblHeader w:val="true"/>
        </w:trPr>
        <w:tc>
          <w:tcPr>
            <w:tcW w:type="dxa" w:w="2700"/>
            <w:tcMar>
              <w:top w:w="60" w:type="dxa"/>
              <w:start w:w="100" w:type="dxa"/>
              <w:bottom w:w="60" w:type="dxa"/>
              <w:end w:w="100" w:type="dxa"/>
            </w:tcMar>
            <w:vAlign w:val="center"/>
            <w:shd w:fill="17365D"/>
          </w:tcPr>
          <w:p>
            <w:pPr>
              <w:jc w:val="center"/>
            </w:pPr>
            <w:r/>
            <w:r>
              <w:rPr>
                <w:rFonts w:ascii="Arial" w:hAnsi="Arial"/>
                <w:b/>
                <w:i w:val="0"/>
                <w:color w:val="FFFFFF"/>
                <w:sz w:val="18"/>
              </w:rPr>
              <w:t>Code-defined parameter</w:t>
            </w:r>
          </w:p>
        </w:tc>
        <w:tc>
          <w:tcPr>
            <w:tcW w:type="dxa" w:w="6660"/>
            <w:tcMar>
              <w:top w:w="60" w:type="dxa"/>
              <w:start w:w="100" w:type="dxa"/>
              <w:bottom w:w="60" w:type="dxa"/>
              <w:end w:w="100" w:type="dxa"/>
            </w:tcMar>
            <w:vAlign w:val="center"/>
            <w:shd w:fill="17365D"/>
          </w:tcPr>
          <w:p>
            <w:pPr>
              <w:jc w:val="center"/>
            </w:pPr>
            <w:r/>
            <w:r>
              <w:rPr>
                <w:rFonts w:ascii="Arial" w:hAnsi="Arial"/>
                <w:b/>
                <w:i w:val="0"/>
                <w:color w:val="FFFFFF"/>
                <w:sz w:val="18"/>
              </w:rPr>
              <w:t>Value and implementation</w:t>
            </w:r>
          </w:p>
        </w:tc>
      </w:tr>
      <w:tr>
        <w:trPr>
          <w:cantSplit/>
        </w:trPr>
        <w:tc>
          <w:tcPr>
            <w:tcW w:type="dxa" w:w="4680"/>
            <w:shd w:fill="DDEBF7"/>
          </w:tcPr>
          <w:p>
            <w:pPr>
              <w:jc w:val="left"/>
            </w:pPr>
            <w:r/>
            <w:r>
              <w:rPr>
                <w:rFonts w:ascii="Arial" w:hAnsi="Arial"/>
                <w:b/>
                <w:i w:val="0"/>
                <w:sz w:val="17"/>
              </w:rPr>
              <w:t>Initial condition</w:t>
            </w:r>
          </w:p>
        </w:tc>
        <w:tc>
          <w:tcPr>
            <w:tcW w:type="dxa" w:w="4680"/>
          </w:tcPr>
          <w:p>
            <w:pPr>
              <w:jc w:val="left"/>
            </w:pPr>
            <w:r/>
            <w:r>
              <w:rPr>
                <w:rFonts w:ascii="Arial" w:hAnsi="Arial"/>
                <w:b w:val="0"/>
                <w:i w:val="0"/>
                <w:sz w:val="17"/>
              </w:rPr>
              <w:t>20 mM formate; 0.02 gDW L-1 biomass</w:t>
            </w:r>
          </w:p>
        </w:tc>
      </w:tr>
      <w:tr>
        <w:trPr>
          <w:cantSplit/>
        </w:trPr>
        <w:tc>
          <w:tcPr>
            <w:tcW w:type="dxa" w:w="4680"/>
            <w:shd w:fill="DDEBF7"/>
          </w:tcPr>
          <w:p>
            <w:pPr>
              <w:jc w:val="left"/>
            </w:pPr>
            <w:r/>
            <w:r>
              <w:rPr>
                <w:rFonts w:ascii="Arial" w:hAnsi="Arial"/>
                <w:b/>
                <w:i w:val="0"/>
                <w:sz w:val="17"/>
              </w:rPr>
              <w:t>Integration</w:t>
            </w:r>
          </w:p>
        </w:tc>
        <w:tc>
          <w:tcPr>
            <w:tcW w:type="dxa" w:w="4680"/>
          </w:tcPr>
          <w:p>
            <w:pPr>
              <w:jc w:val="left"/>
            </w:pPr>
            <w:r/>
            <w:r>
              <w:rPr>
                <w:rFonts w:ascii="Arial" w:hAnsi="Arial"/>
                <w:b w:val="0"/>
                <w:i w:val="0"/>
                <w:sz w:val="17"/>
              </w:rPr>
              <w:t>200 h; deltat = 2 h</w:t>
            </w:r>
          </w:p>
        </w:tc>
      </w:tr>
      <w:tr>
        <w:trPr>
          <w:cantSplit/>
        </w:trPr>
        <w:tc>
          <w:tcPr>
            <w:tcW w:type="dxa" w:w="4680"/>
            <w:shd w:fill="DDEBF7"/>
          </w:tcPr>
          <w:p>
            <w:pPr>
              <w:jc w:val="left"/>
            </w:pPr>
            <w:r/>
            <w:r>
              <w:rPr>
                <w:rFonts w:ascii="Arial" w:hAnsi="Arial"/>
                <w:b/>
                <w:i w:val="0"/>
                <w:sz w:val="17"/>
              </w:rPr>
              <w:t>ForT backgrounds</w:t>
            </w:r>
          </w:p>
        </w:tc>
        <w:tc>
          <w:tcPr>
            <w:tcW w:type="dxa" w:w="4680"/>
          </w:tcPr>
          <w:p>
            <w:pPr>
              <w:jc w:val="left"/>
            </w:pPr>
            <w:r/>
            <w:r>
              <w:rPr>
                <w:rFonts w:ascii="Arial" w:hAnsi="Arial"/>
                <w:b w:val="0"/>
                <w:i w:val="0"/>
                <w:sz w:val="17"/>
              </w:rPr>
              <w:t>beta = 0.1, 0.2, 0.5 and 1x baseline Vmax</w:t>
            </w:r>
          </w:p>
        </w:tc>
      </w:tr>
      <w:tr>
        <w:trPr>
          <w:cantSplit/>
        </w:trPr>
        <w:tc>
          <w:tcPr>
            <w:tcW w:type="dxa" w:w="4680"/>
            <w:shd w:fill="DDEBF7"/>
          </w:tcPr>
          <w:p>
            <w:pPr>
              <w:jc w:val="left"/>
            </w:pPr>
            <w:r/>
            <w:r>
              <w:rPr>
                <w:rFonts w:ascii="Arial" w:hAnsi="Arial"/>
                <w:b/>
                <w:i w:val="0"/>
                <w:sz w:val="17"/>
              </w:rPr>
              <w:t>Module scales</w:t>
            </w:r>
          </w:p>
        </w:tc>
        <w:tc>
          <w:tcPr>
            <w:tcW w:type="dxa" w:w="4680"/>
          </w:tcPr>
          <w:p>
            <w:pPr>
              <w:jc w:val="left"/>
            </w:pPr>
            <w:r/>
            <w:r>
              <w:rPr>
                <w:rFonts w:ascii="Arial" w:hAnsi="Arial"/>
                <w:b w:val="0"/>
                <w:i w:val="0"/>
                <w:sz w:val="17"/>
              </w:rPr>
              <w:t>alpha = 0.01, 0.05, 0.1, 0.2, 0.5 and 1</w:t>
            </w:r>
          </w:p>
        </w:tc>
      </w:tr>
      <w:tr>
        <w:trPr>
          <w:cantSplit/>
        </w:trPr>
        <w:tc>
          <w:tcPr>
            <w:tcW w:type="dxa" w:w="4680"/>
            <w:shd w:fill="DDEBF7"/>
          </w:tcPr>
          <w:p>
            <w:pPr>
              <w:jc w:val="left"/>
            </w:pPr>
            <w:r/>
            <w:r>
              <w:rPr>
                <w:rFonts w:ascii="Arial" w:hAnsi="Arial"/>
                <w:b/>
                <w:i w:val="0"/>
                <w:sz w:val="17"/>
              </w:rPr>
              <w:t>Enzyme modules</w:t>
            </w:r>
          </w:p>
        </w:tc>
        <w:tc>
          <w:tcPr>
            <w:tcW w:type="dxa" w:w="4680"/>
          </w:tcPr>
          <w:p>
            <w:pPr>
              <w:jc w:val="left"/>
            </w:pPr>
            <w:r/>
            <w:r>
              <w:rPr>
                <w:rFonts w:ascii="Arial" w:hAnsi="Arial"/>
                <w:b w:val="0"/>
                <w:i w:val="0"/>
                <w:sz w:val="17"/>
              </w:rPr>
              <w:t>FDH, CBB and TCA are perturbed by multiplying the relevant kcat values by alpha</w:t>
            </w:r>
          </w:p>
        </w:tc>
      </w:tr>
      <w:tr>
        <w:trPr>
          <w:cantSplit/>
        </w:trPr>
        <w:tc>
          <w:tcPr>
            <w:tcW w:type="dxa" w:w="4680"/>
            <w:shd w:fill="DDEBF7"/>
          </w:tcPr>
          <w:p>
            <w:pPr>
              <w:jc w:val="left"/>
            </w:pPr>
            <w:r/>
            <w:r>
              <w:rPr>
                <w:rFonts w:ascii="Arial" w:hAnsi="Arial"/>
                <w:b/>
                <w:i w:val="0"/>
                <w:sz w:val="17"/>
              </w:rPr>
              <w:t>ForT module</w:t>
            </w:r>
          </w:p>
        </w:tc>
        <w:tc>
          <w:tcPr>
            <w:tcW w:type="dxa" w:w="4680"/>
          </w:tcPr>
          <w:p>
            <w:pPr>
              <w:jc w:val="left"/>
            </w:pPr>
            <w:r/>
            <w:r>
              <w:rPr>
                <w:rFonts w:ascii="Arial" w:hAnsi="Arial"/>
                <w:b w:val="0"/>
                <w:i w:val="0"/>
                <w:sz w:val="17"/>
              </w:rPr>
              <w:t>Vmax,ForT = 1.786555464 x beta x alpha mmol gDW-1 h-1</w:t>
            </w:r>
          </w:p>
        </w:tc>
      </w:tr>
      <w:tr>
        <w:trPr>
          <w:cantSplit/>
        </w:trPr>
        <w:tc>
          <w:tcPr>
            <w:tcW w:type="dxa" w:w="4680"/>
            <w:shd w:fill="DDEBF7"/>
          </w:tcPr>
          <w:p>
            <w:pPr>
              <w:jc w:val="left"/>
            </w:pPr>
            <w:r/>
            <w:r>
              <w:rPr>
                <w:rFonts w:ascii="Arial" w:hAnsi="Arial"/>
                <w:b/>
                <w:i w:val="0"/>
                <w:sz w:val="17"/>
              </w:rPr>
              <w:t>Cyclic electron flow</w:t>
            </w:r>
          </w:p>
        </w:tc>
        <w:tc>
          <w:tcPr>
            <w:tcW w:type="dxa" w:w="4680"/>
          </w:tcPr>
          <w:p>
            <w:pPr>
              <w:jc w:val="left"/>
            </w:pPr>
            <w:r/>
            <w:r>
              <w:rPr>
                <w:rFonts w:ascii="Arial" w:hAnsi="Arial"/>
                <w:b w:val="0"/>
                <w:i w:val="0"/>
                <w:sz w:val="17"/>
              </w:rPr>
              <w:t>PURPLE_RC upper bound = min(existing upper bound, 60 x alpha)</w:t>
            </w:r>
          </w:p>
        </w:tc>
      </w:tr>
      <w:tr>
        <w:trPr>
          <w:cantSplit/>
        </w:trPr>
        <w:tc>
          <w:tcPr>
            <w:tcW w:type="dxa" w:w="4680"/>
            <w:shd w:fill="DDEBF7"/>
          </w:tcPr>
          <w:p>
            <w:pPr>
              <w:jc w:val="left"/>
            </w:pPr>
            <w:r/>
            <w:r>
              <w:rPr>
                <w:rFonts w:ascii="Arial" w:hAnsi="Arial"/>
                <w:b/>
                <w:i w:val="0"/>
                <w:sz w:val="17"/>
              </w:rPr>
              <w:t>Light parameters</w:t>
            </w:r>
          </w:p>
        </w:tc>
        <w:tc>
          <w:tcPr>
            <w:tcW w:type="dxa" w:w="4680"/>
          </w:tcPr>
          <w:p>
            <w:pPr>
              <w:jc w:val="left"/>
            </w:pPr>
            <w:r/>
            <w:r>
              <w:rPr>
                <w:rFonts w:ascii="Arial" w:hAnsi="Arial"/>
                <w:b w:val="0"/>
                <w:i w:val="0"/>
                <w:sz w:val="17"/>
              </w:rPr>
              <w:t>Total light = 50; maximum specific light = 60 mmol gDW-1 h-1</w:t>
            </w:r>
          </w:p>
        </w:tc>
      </w:tr>
      <w:tr>
        <w:trPr>
          <w:cantSplit/>
        </w:trPr>
        <w:tc>
          <w:tcPr>
            <w:tcW w:type="dxa" w:w="4680"/>
            <w:shd w:fill="DDEBF7"/>
          </w:tcPr>
          <w:p>
            <w:pPr>
              <w:jc w:val="left"/>
            </w:pPr>
            <w:r/>
            <w:r>
              <w:rPr>
                <w:rFonts w:ascii="Arial" w:hAnsi="Arial"/>
                <w:b/>
                <w:i w:val="0"/>
                <w:sz w:val="17"/>
              </w:rPr>
              <w:t>External CO2</w:t>
            </w:r>
          </w:p>
        </w:tc>
        <w:tc>
          <w:tcPr>
            <w:tcW w:type="dxa" w:w="4680"/>
          </w:tcPr>
          <w:p>
            <w:pPr>
              <w:jc w:val="left"/>
            </w:pPr>
            <w:r/>
            <w:r>
              <w:rPr>
                <w:rFonts w:ascii="Arial" w:hAnsi="Arial"/>
                <w:b w:val="0"/>
                <w:i w:val="0"/>
                <w:sz w:val="17"/>
              </w:rPr>
              <w:t>Uptake blocked throughout the simulation</w:t>
            </w:r>
          </w:p>
        </w:tc>
      </w:tr>
      <w:tr>
        <w:trPr>
          <w:cantSplit/>
        </w:trPr>
        <w:tc>
          <w:tcPr>
            <w:tcW w:type="dxa" w:w="4680"/>
            <w:shd w:fill="DDEBF7"/>
          </w:tcPr>
          <w:p>
            <w:pPr>
              <w:jc w:val="left"/>
            </w:pPr>
            <w:r/>
            <w:r>
              <w:rPr>
                <w:rFonts w:ascii="Arial" w:hAnsi="Arial"/>
                <w:b/>
                <w:i w:val="0"/>
                <w:sz w:val="17"/>
              </w:rPr>
              <w:t>RNA-seq scaling</w:t>
            </w:r>
          </w:p>
        </w:tc>
        <w:tc>
          <w:tcPr>
            <w:tcW w:type="dxa" w:w="4680"/>
          </w:tcPr>
          <w:p>
            <w:pPr>
              <w:jc w:val="left"/>
            </w:pPr>
            <w:r/>
            <w:r>
              <w:rPr>
                <w:rFonts w:ascii="Arial" w:hAnsi="Arial"/>
                <w:b w:val="0"/>
                <w:i w:val="0"/>
                <w:sz w:val="17"/>
              </w:rPr>
              <w:t>enzyme_pool_fraction_of_biomass_protein = 1.0</w:t>
            </w:r>
          </w:p>
        </w:tc>
      </w:tr>
    </w:tbl>
    <w:p>
      <w:pPr>
        <w:widowControl/>
        <w:spacing w:after="60"/>
      </w:pPr>
    </w:p>
    <w:p>
      <w:pPr>
        <w:spacing w:before="60" w:after="120"/>
        <w:ind w:left="504" w:right="360"/>
        <w:jc w:val="left"/>
        <w:widowControl/>
        <w:shd w:fill="F2F2F2"/>
      </w:pPr>
      <w:r>
        <w:rPr>
          <w:rFonts w:ascii="Cambria Math" w:hAnsi="Cambria Math"/>
          <w:b w:val="0"/>
          <w:i/>
          <w:sz w:val="21"/>
        </w:rPr>
        <w:t>Cumulative flux_r = sum_t max[v_r(t), 0] x X(t) x dt</w:t>
      </w:r>
    </w:p>
    <w:p>
      <w:pPr>
        <w:spacing w:before="60" w:after="120"/>
        <w:ind w:left="504" w:right="360"/>
        <w:jc w:val="left"/>
        <w:widowControl/>
        <w:shd w:fill="F2F2F2"/>
      </w:pPr>
      <w:r>
        <w:rPr>
          <w:rFonts w:ascii="Cambria Math" w:hAnsi="Cambria Math"/>
          <w:b w:val="0"/>
          <w:i/>
          <w:sz w:val="21"/>
        </w:rPr>
        <w:t>RuBisCO_total(t) = max[v_RBPC(t), 0] + max[v_RBPCcx(t), 0]</w:t>
      </w:r>
    </w:p>
    <w:p>
      <w:pPr>
        <w:spacing w:before="60" w:after="120"/>
        <w:ind w:left="504" w:right="360"/>
        <w:jc w:val="left"/>
        <w:widowControl/>
        <w:shd w:fill="F2F2F2"/>
      </w:pPr>
      <w:r>
        <w:rPr>
          <w:rFonts w:ascii="Cambria Math" w:hAnsi="Cambria Math"/>
          <w:b w:val="0"/>
          <w:i/>
          <w:sz w:val="21"/>
        </w:rPr>
        <w:t>Response(module, alpha, beta) = output(module, alpha, beta) / output(module, 1, beta)</w:t>
      </w:r>
    </w:p>
    <w:p>
      <w:pPr>
        <w:widowControl/>
        <w:spacing w:after="120" w:line="259" w:lineRule="auto"/>
        <w:jc w:val="left"/>
      </w:pPr>
      <w:r>
        <w:rPr>
          <w:rFonts w:ascii="Arial" w:hAnsi="Arial"/>
          <w:b w:val="0"/>
          <w:i w:val="0"/>
          <w:sz w:val="21"/>
        </w:rPr>
        <w:t>Each module is normalized to its own 1x capacity under the same ForT background. Therefore, values compare sensitivity within a module/background combination and are not absolute comparisons among modules or among ForT backgrounds.</w:t>
      </w:r>
    </w:p>
    <w:p>
      <w:pPr>
        <w:pStyle w:val="Heading2"/>
        <w:keepNext/>
        <w:spacing w:before="140" w:after="80"/>
        <w:jc w:val="left"/>
      </w:pPr>
      <w:r>
        <w:rPr>
          <w:rFonts w:ascii="Arial" w:hAnsi="Arial"/>
          <w:b/>
          <w:i w:val="0"/>
          <w:color w:val="17365D"/>
          <w:sz w:val="24"/>
        </w:rPr>
        <w:t>6.2 Code-specific photon-scaling note</w:t>
      </w:r>
    </w:p>
    <w:p>
      <w:pPr>
        <w:widowControl/>
        <w:spacing w:after="120" w:line="259" w:lineRule="auto"/>
        <w:jc w:val="left"/>
      </w:pPr>
      <w:r>
        <w:rPr>
          <w:rFonts w:ascii="Arial" w:hAnsi="Arial"/>
          <w:b w:val="0"/>
          <w:i w:val="0"/>
          <w:sz w:val="21"/>
        </w:rPr>
        <w:t>The current implementation first multiplies total light and maximum specific light by alpha for the photon-uptake module. The subsequent non-enzyme-capacity function multiplies the already scaled maximum-specific-light value by alpha again when setting the final EX_photon_purple_e lower bound. Consequently, the final maximum-specific photon bound used for this module is 60 x alpha^2 in the current figure. The photon-uptake row must therefore be interpreted as the response to this implemented compound scaling, not a single linear alpha perturbation.</w:t>
      </w:r>
    </w:p>
    <w:p>
      <w:pPr>
        <w:pStyle w:val="Heading2"/>
        <w:keepNext/>
        <w:spacing w:before="140" w:after="80"/>
        <w:jc w:val="left"/>
      </w:pPr>
      <w:r>
        <w:rPr>
          <w:rFonts w:ascii="Arial" w:hAnsi="Arial"/>
          <w:b/>
          <w:i w:val="0"/>
          <w:color w:val="17365D"/>
          <w:sz w:val="24"/>
        </w:rPr>
        <w:t>6.3 Interpretation</w:t>
      </w:r>
    </w:p>
    <w:p>
      <w:pPr>
        <w:widowControl/>
        <w:spacing w:after="120" w:line="259" w:lineRule="auto"/>
        <w:jc w:val="left"/>
      </w:pPr>
      <w:r>
        <w:rPr>
          <w:rFonts w:ascii="Arial" w:hAnsi="Arial"/>
          <w:b w:val="0"/>
          <w:i w:val="0"/>
          <w:sz w:val="21"/>
        </w:rPr>
        <w:t>At the lowest ForT background (0.1x), severe ForT or FDH restriction reduces final biomass to approximately 45-46% of the corresponding 1x module baseline at alpha = 0.01, whereas the cumulative RuBisCO and CS responses fall to &lt;=2.5%. This shows that cumulative carbon throughput is more sensitive than terminal biomass, partly because the initial biomass contributes to the final-biomass denominator.</w:t>
      </w:r>
    </w:p>
    <w:p>
      <w:pPr>
        <w:widowControl/>
        <w:spacing w:after="120" w:line="259" w:lineRule="auto"/>
        <w:jc w:val="left"/>
      </w:pPr>
      <w:r>
        <w:rPr>
          <w:rFonts w:ascii="Arial" w:hAnsi="Arial"/>
          <w:b w:val="0"/>
          <w:i w:val="0"/>
          <w:sz w:val="21"/>
        </w:rPr>
        <w:t>As the ForT background increases to 0.5-1x, strong restrictions in FDH, CBB, photon uptake and cyclic electron flow become increasingly visible. This shift is consistent with serial limitation: restoring transporter capacity exposes downstream oxidation, fixation and energy-supply constraints.</w:t>
      </w:r>
    </w:p>
    <w:p>
      <w:pPr>
        <w:widowControl/>
        <w:spacing w:after="120" w:line="259" w:lineRule="auto"/>
        <w:jc w:val="left"/>
      </w:pPr>
      <w:r>
        <w:rPr>
          <w:rFonts w:ascii="Arial" w:hAnsi="Arial"/>
          <w:b w:val="0"/>
          <w:i w:val="0"/>
          <w:sz w:val="21"/>
        </w:rPr>
        <w:t>The TCA row remains at approximately 1 across the tested scales. This means that the RNA-seq-derived TCA enzyme upper bounds remain non-binding even after their kcat values are reduced to 1% in this specific model and condition. It does not mean that TCA reactions are biologically dispensable. Similarly, the close agreement between cumulative RuBisCO and cumulative CS response patterns reflects their coupling in the selected optimal dFBA solutions and should not be interpreted as identical biochemical functions.</w:t>
      </w:r>
    </w:p>
    <w:p>
      <w:pPr>
        <w:pStyle w:val="Heading1"/>
        <w:keepNext/>
        <w:spacing w:before="200" w:after="80"/>
        <w:jc w:val="left"/>
      </w:pPr>
      <w:r>
        <w:rPr>
          <w:rFonts w:ascii="Arial" w:hAnsi="Arial"/>
          <w:b/>
          <w:i w:val="0"/>
          <w:color w:val="17365D"/>
          <w:sz w:val="30"/>
        </w:rPr>
        <w:t>7. Integrated conclusions and reporting boundaries</w:t>
      </w:r>
    </w:p>
    <w:p>
      <w:pPr>
        <w:widowControl/>
        <w:pBdr>
          <w:left w:val="single" w:sz="12" w:space="6" w:color="2F75B5"/>
        </w:pBdr>
        <w:spacing w:after="80"/>
        <w:ind w:left="259"/>
      </w:pPr>
      <w:r>
        <w:rPr>
          <w:rFonts w:ascii="Arial" w:hAnsi="Arial"/>
          <w:b w:val="0"/>
          <w:i w:val="0"/>
          <w:sz w:val="21"/>
        </w:rPr>
        <w:t>The steady-state scan identifies a near-linear formate-light saturation boundary but permits external CO2 uptake and therefore serves as an environmental operating-space analysis.</w:t>
      </w:r>
    </w:p>
    <w:p>
      <w:pPr>
        <w:widowControl/>
        <w:pBdr>
          <w:left w:val="single" w:sz="12" w:space="6" w:color="2F75B5"/>
        </w:pBdr>
        <w:spacing w:after="80"/>
        <w:ind w:left="259"/>
      </w:pPr>
      <w:r>
        <w:rPr>
          <w:rFonts w:ascii="Arial" w:hAnsi="Arial"/>
          <w:b w:val="0"/>
          <w:i w:val="0"/>
          <w:sz w:val="21"/>
        </w:rPr>
        <w:t>At 20 mM formate, ForT Vmax is the dominant transporter parameter; Km has little influence because the transporter is highly substrate-saturated over most of the simulation.</w:t>
      </w:r>
    </w:p>
    <w:p>
      <w:pPr>
        <w:widowControl/>
        <w:pBdr>
          <w:left w:val="single" w:sz="12" w:space="6" w:color="2F75B5"/>
        </w:pBdr>
        <w:spacing w:after="80"/>
        <w:ind w:left="259"/>
      </w:pPr>
      <w:r>
        <w:rPr>
          <w:rFonts w:ascii="Arial" w:hAnsi="Arial"/>
          <w:b w:val="0"/>
          <w:i w:val="0"/>
          <w:sz w:val="21"/>
        </w:rPr>
        <w:t>Loopless FVA confirms that low ForT capacity compresses feasible biomass, FDH and RBPCcx flux ranges, whereas 0.5x-1x transporter capacity shifts limitation downstream.</w:t>
      </w:r>
    </w:p>
    <w:p>
      <w:pPr>
        <w:widowControl/>
        <w:pBdr>
          <w:left w:val="single" w:sz="12" w:space="6" w:color="2F75B5"/>
        </w:pBdr>
        <w:spacing w:after="80"/>
        <w:ind w:left="259"/>
      </w:pPr>
      <w:r>
        <w:rPr>
          <w:rFonts w:ascii="Arial" w:hAnsi="Arial"/>
          <w:b w:val="0"/>
          <w:i w:val="0"/>
          <w:sz w:val="21"/>
        </w:rPr>
        <w:t>Module scaling identifies FDH, CBB and energy-supply capacities as conditional downstream bottlenecks; TCA enzyme capacities are non-binding within the implemented perturbation range.</w:t>
      </w:r>
    </w:p>
    <w:p>
      <w:pPr>
        <w:widowControl/>
        <w:pBdr>
          <w:left w:val="single" w:sz="12" w:space="6" w:color="2F75B5"/>
        </w:pBdr>
        <w:spacing w:after="80"/>
        <w:ind w:left="259"/>
      </w:pPr>
      <w:r>
        <w:rPr>
          <w:rFonts w:ascii="Arial" w:hAnsi="Arial"/>
          <w:b w:val="0"/>
          <w:i w:val="0"/>
          <w:sz w:val="21"/>
        </w:rPr>
        <w:t>Normalized heatmap values are within-row or within-module response measures. They must not be used as direct evidence of reaction essentiality or to compare absolute flux magnitudes across reactions.</w:t>
      </w:r>
    </w:p>
    <w:p>
      <w:pPr>
        <w:widowControl/>
        <w:spacing w:after="120" w:line="259" w:lineRule="auto"/>
        <w:jc w:val="left"/>
      </w:pPr>
      <w:r>
        <w:rPr>
          <w:rFonts w:ascii="Arial" w:hAnsi="Arial"/>
          <w:b/>
          <w:i w:val="0"/>
          <w:sz w:val="21"/>
        </w:rPr>
        <w:t>Reproducibility:</w:t>
      </w:r>
      <w:r>
        <w:rPr>
          <w:rFonts w:ascii="Arial" w:hAnsi="Arial"/>
          <w:b w:val="0"/>
          <w:i w:val="0"/>
          <w:sz w:val="21"/>
        </w:rPr>
        <w:t xml:space="preserve"> Notebook 3 now contains the ForT sensitivity, loopless FVA, and integrated module-simulation/heatmap routines; MODULE_FORCE_RECOMPUTE = True reruns all 144 module conditions. The steady-state scan remains in plot_notebook/plot.ipynb.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7"/>
      </w:rPr>
      <w:t>Supplementary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666666"/>
        <w:sz w:val="17"/>
      </w:rPr>
      <w:t>DSM123 reconstructed metabolic network | Supplementary computational analyses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75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