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DB25F" w14:textId="4810A2AE" w:rsidR="004B0FE0" w:rsidRPr="00DC6EAB" w:rsidRDefault="004B0FE0" w:rsidP="004B0FE0">
      <w:pPr>
        <w:jc w:val="center"/>
        <w:rPr>
          <w:b/>
          <w:bCs/>
          <w:sz w:val="40"/>
          <w:szCs w:val="40"/>
        </w:rPr>
      </w:pPr>
      <w:r w:rsidRPr="00DC6EAB">
        <w:rPr>
          <w:rFonts w:hint="eastAsia"/>
          <w:b/>
          <w:bCs/>
          <w:sz w:val="40"/>
          <w:szCs w:val="40"/>
        </w:rPr>
        <w:t>トラヒック理論(レポート課題)</w:t>
      </w:r>
    </w:p>
    <w:p w14:paraId="1AD8680E" w14:textId="49FAC403" w:rsidR="004B0FE0" w:rsidRDefault="004B0FE0" w:rsidP="004B0FE0">
      <w:pPr>
        <w:wordWrap w:val="0"/>
        <w:jc w:val="right"/>
      </w:pPr>
      <w:r>
        <w:rPr>
          <w:rFonts w:hint="eastAsia"/>
        </w:rPr>
        <w:t>1W232257-5 永田健人</w:t>
      </w:r>
    </w:p>
    <w:p w14:paraId="29E4F051" w14:textId="5818F064" w:rsidR="003201EE" w:rsidRPr="009B454A" w:rsidRDefault="003236A5" w:rsidP="003236A5">
      <w:pPr>
        <w:pStyle w:val="a9"/>
        <w:numPr>
          <w:ilvl w:val="0"/>
          <w:numId w:val="1"/>
        </w:numPr>
        <w:ind w:right="420"/>
        <w:rPr>
          <w:b/>
          <w:bCs/>
          <w:sz w:val="24"/>
        </w:rPr>
      </w:pPr>
      <w:r w:rsidRPr="009B454A">
        <w:rPr>
          <w:rFonts w:hint="eastAsia"/>
          <w:b/>
          <w:bCs/>
          <w:sz w:val="24"/>
        </w:rPr>
        <w:t>分析テーマと目的</w:t>
      </w:r>
    </w:p>
    <w:p w14:paraId="4C9D5FC9" w14:textId="557915E2" w:rsidR="00624E69" w:rsidRDefault="00D55368" w:rsidP="003236A5">
      <w:pPr>
        <w:pStyle w:val="a9"/>
        <w:ind w:left="360" w:right="420"/>
      </w:pPr>
      <w:r w:rsidRPr="00D55368">
        <w:t>本レポートは、トラヒック理論におけるランダム到着現象の分析モデルとして、人気ロックバンド「Mrs. GREEN APPLE」のボーカル、大森元貴氏の歌詞世界を取り上げる。具体的には、各楽曲に登場する人称代名詞（一人称、二人称、三人称）の合計数を「到着数」と見立て、その出現頻度分布が理論的なランダムモデルであるポアソン分布に従うか否かを、多角的な統計手法を用いて検証する。人称代名詞は、楽曲の視点、物語、そして「誰」と「誰」の関係性を規定する根幹的な要素である。もしその出現が真にランダムならば、その頻度はポアソン分布に近似するはずである。しかし、もしそこに作詞家によるテーマ設定や構造的意図が存在するならば、分布は理論から逸脱するであろう。本分析の目的は、この「逸脱」を定量的に捉え、その原因を深く考察することで、歌詞という創作物が持つ統計的特性と、その背後にある創造性の本質を明らかにすることにある。</w:t>
      </w:r>
    </w:p>
    <w:p w14:paraId="03661BE1" w14:textId="578C5216" w:rsidR="00D55368" w:rsidRDefault="00D55368" w:rsidP="003236A5">
      <w:pPr>
        <w:pStyle w:val="a9"/>
        <w:ind w:left="360" w:right="420"/>
        <w:rPr>
          <w:rFonts w:hint="eastAsia"/>
        </w:rPr>
      </w:pPr>
    </w:p>
    <w:p w14:paraId="39F21A38" w14:textId="2404AD7D" w:rsidR="003236A5" w:rsidRPr="009B454A" w:rsidRDefault="003236A5" w:rsidP="003236A5">
      <w:pPr>
        <w:pStyle w:val="a9"/>
        <w:numPr>
          <w:ilvl w:val="0"/>
          <w:numId w:val="1"/>
        </w:numPr>
        <w:ind w:right="420"/>
        <w:rPr>
          <w:b/>
          <w:bCs/>
          <w:sz w:val="24"/>
        </w:rPr>
      </w:pPr>
      <w:r w:rsidRPr="009B454A">
        <w:rPr>
          <w:rFonts w:hint="eastAsia"/>
          <w:b/>
          <w:bCs/>
          <w:sz w:val="24"/>
        </w:rPr>
        <w:t>データ概要と分析手法</w:t>
      </w:r>
    </w:p>
    <w:p w14:paraId="590E7655" w14:textId="44804382" w:rsidR="00E651DB" w:rsidRDefault="00E651DB" w:rsidP="00E651DB">
      <w:pPr>
        <w:pStyle w:val="a9"/>
        <w:ind w:left="360" w:right="420"/>
      </w:pPr>
      <w:r w:rsidRPr="0025617A">
        <w:rPr>
          <w:rFonts w:hint="eastAsia"/>
          <w:b/>
          <w:bCs/>
        </w:rPr>
        <w:t>分析対象データ</w:t>
      </w:r>
      <w:r>
        <w:rPr>
          <w:rFonts w:hint="eastAsia"/>
        </w:rPr>
        <w:t>：</w:t>
      </w:r>
      <w:r w:rsidR="00E542DD" w:rsidRPr="00E542DD">
        <w:t>当初のデータセット（129曲）では、1曲あたりの平均出現回数が約8.16となり、課題要件である「平均値2～4」を逸脱していた。そこで、より厳密な分析のため、元の129曲の歌詞をそれぞれ前半・後半に物理的に分割し、各部分での人称代名詞の出現数を再集計した、258サンプルの新データセットを構築した。これにより、本分析における「単位時間（T）」は「0.5曲（半曲）」となり、分析の前提となるデータ特性は以下の通りとなった。</w:t>
      </w:r>
    </w:p>
    <w:p w14:paraId="031F9902" w14:textId="65B716EF" w:rsidR="00E651DB" w:rsidRPr="00E542DD" w:rsidRDefault="0025617A" w:rsidP="00E651DB">
      <w:pPr>
        <w:pStyle w:val="a9"/>
        <w:ind w:left="360" w:right="420"/>
        <w:rPr>
          <w:rFonts w:hint="eastAsia"/>
        </w:rPr>
      </w:pPr>
      <w:r w:rsidRPr="0025617A">
        <w:rPr>
          <w:rFonts w:hint="eastAsia"/>
          <w:b/>
          <w:bCs/>
        </w:rPr>
        <w:t>データ特性</w:t>
      </w:r>
      <w:r>
        <w:rPr>
          <w:rFonts w:hint="eastAsia"/>
        </w:rPr>
        <w:t>：</w:t>
      </w:r>
      <w:r w:rsidRPr="0025617A">
        <w:t>サンプル数 n=</w:t>
      </w:r>
      <w:r w:rsidR="00E542DD">
        <w:rPr>
          <w:rFonts w:hint="eastAsia"/>
        </w:rPr>
        <w:t>258</w:t>
      </w:r>
      <w:r w:rsidRPr="0025617A">
        <w:t>、平均出現回数 λ ≈</w:t>
      </w:r>
      <w:r w:rsidR="00E542DD">
        <w:rPr>
          <w:rFonts w:hint="eastAsia"/>
        </w:rPr>
        <w:t>4.081</w:t>
      </w:r>
    </w:p>
    <w:p w14:paraId="0F61778B" w14:textId="66E4C541" w:rsidR="0025617A" w:rsidRDefault="0025617A" w:rsidP="00E651DB">
      <w:pPr>
        <w:pStyle w:val="a9"/>
        <w:ind w:left="360" w:right="420"/>
      </w:pPr>
      <w:r w:rsidRPr="0025617A">
        <w:rPr>
          <w:b/>
          <w:bCs/>
        </w:rPr>
        <w:t>分析手法</w:t>
      </w:r>
      <w:r w:rsidRPr="0025617A">
        <w:t>: 以下の5つの異なる統計的アプローチを用い、多角的にポアソン分布への適合性を評価する。</w:t>
      </w:r>
    </w:p>
    <w:p w14:paraId="6F22FAA9" w14:textId="5B425F9E" w:rsidR="0025617A" w:rsidRDefault="0025617A" w:rsidP="0025617A">
      <w:pPr>
        <w:pStyle w:val="a9"/>
        <w:numPr>
          <w:ilvl w:val="0"/>
          <w:numId w:val="2"/>
        </w:numPr>
        <w:ind w:right="420"/>
      </w:pPr>
      <m:oMath>
        <m:sSup>
          <m:sSupPr>
            <m:ctrlPr>
              <w:rPr>
                <w:rFonts w:ascii="Cambria Math" w:hAnsi="Cambria Math"/>
                <w:i/>
              </w:rPr>
            </m:ctrlPr>
          </m:sSupPr>
          <m:e>
            <m:r>
              <w:rPr>
                <w:rFonts w:ascii="Cambria Math" w:hAnsi="Cambria Math" w:hint="eastAsia"/>
              </w:rPr>
              <m:t>χ</m:t>
            </m:r>
          </m:e>
          <m:sup>
            <m:r>
              <w:rPr>
                <w:rFonts w:ascii="Cambria Math" w:hAnsi="Cambria Math"/>
              </w:rPr>
              <m:t>2</m:t>
            </m:r>
          </m:sup>
        </m:sSup>
      </m:oMath>
      <w:r>
        <w:rPr>
          <w:rFonts w:hint="eastAsia"/>
        </w:rPr>
        <w:t>適合度検定：</w:t>
      </w:r>
      <w:r w:rsidRPr="0025617A">
        <w:t>観測度数と期待度数の差を評価する。</w:t>
      </w:r>
    </w:p>
    <w:p w14:paraId="43CCC75A" w14:textId="7312CC12" w:rsidR="0025617A" w:rsidRDefault="0025617A" w:rsidP="0025617A">
      <w:pPr>
        <w:pStyle w:val="a9"/>
        <w:numPr>
          <w:ilvl w:val="0"/>
          <w:numId w:val="2"/>
        </w:numPr>
        <w:ind w:right="420"/>
      </w:pPr>
      <w:r>
        <w:rPr>
          <w:rFonts w:hint="eastAsia"/>
        </w:rPr>
        <w:t>過分散検定：</w:t>
      </w:r>
      <w:r w:rsidRPr="0025617A">
        <w:t>ポアソン分布の基本特性「平均 = 分散」が成立するかを検証する。</w:t>
      </w:r>
    </w:p>
    <w:p w14:paraId="4A69C2A4" w14:textId="0CFF08C5" w:rsidR="0025617A" w:rsidRDefault="0025617A" w:rsidP="0025617A">
      <w:pPr>
        <w:pStyle w:val="a9"/>
        <w:numPr>
          <w:ilvl w:val="0"/>
          <w:numId w:val="2"/>
        </w:numPr>
        <w:ind w:right="420"/>
      </w:pPr>
      <w:r>
        <w:rPr>
          <w:rFonts w:hint="eastAsia"/>
        </w:rPr>
        <w:t>Q-Qプロット：</w:t>
      </w:r>
      <w:r w:rsidRPr="0025617A">
        <w:t>観測データと理論分布の分位点を視覚的に比較し、形状の差異を診断する。</w:t>
      </w:r>
    </w:p>
    <w:p w14:paraId="325304D2" w14:textId="14BF1DD9" w:rsidR="0025617A" w:rsidRDefault="0025617A" w:rsidP="0025617A">
      <w:pPr>
        <w:pStyle w:val="a9"/>
        <w:numPr>
          <w:ilvl w:val="0"/>
          <w:numId w:val="2"/>
        </w:numPr>
        <w:ind w:right="420"/>
      </w:pPr>
      <w:r>
        <w:rPr>
          <w:rFonts w:hint="eastAsia"/>
        </w:rPr>
        <w:t>Kolmogorov-Smirnov（KS）検定：累積分布関数全体の形状を比較する。</w:t>
      </w:r>
    </w:p>
    <w:p w14:paraId="055BFEA5" w14:textId="4363E3D8" w:rsidR="0025617A" w:rsidRDefault="008B1893" w:rsidP="0025617A">
      <w:pPr>
        <w:pStyle w:val="a9"/>
        <w:numPr>
          <w:ilvl w:val="0"/>
          <w:numId w:val="2"/>
        </w:numPr>
        <w:ind w:right="420"/>
      </w:pPr>
      <w:r>
        <w:rPr>
          <w:rFonts w:hint="eastAsia"/>
        </w:rPr>
        <w:t>AICによるモデル比較：</w:t>
      </w:r>
      <w:r w:rsidRPr="008B1893">
        <w:t>ポアソン分布と、代替モデルである負の二項分布の適合度を客観的に比較する。</w:t>
      </w:r>
    </w:p>
    <w:p w14:paraId="1F86513D" w14:textId="77777777" w:rsidR="0025617A" w:rsidRPr="0025617A" w:rsidRDefault="0025617A" w:rsidP="0025617A">
      <w:pPr>
        <w:ind w:right="420"/>
        <w:rPr>
          <w:rFonts w:hint="eastAsia"/>
        </w:rPr>
      </w:pPr>
    </w:p>
    <w:p w14:paraId="442D00B6" w14:textId="77777777" w:rsidR="0025617A" w:rsidRDefault="0025617A" w:rsidP="00E651DB">
      <w:pPr>
        <w:pStyle w:val="a9"/>
        <w:ind w:left="360" w:right="420"/>
        <w:rPr>
          <w:rFonts w:hint="eastAsia"/>
        </w:rPr>
      </w:pPr>
    </w:p>
    <w:p w14:paraId="724393BE" w14:textId="6564D97A" w:rsidR="003236A5" w:rsidRPr="009B454A" w:rsidRDefault="003236A5" w:rsidP="003236A5">
      <w:pPr>
        <w:pStyle w:val="a9"/>
        <w:numPr>
          <w:ilvl w:val="0"/>
          <w:numId w:val="1"/>
        </w:numPr>
        <w:ind w:right="420"/>
        <w:rPr>
          <w:b/>
          <w:bCs/>
          <w:sz w:val="24"/>
        </w:rPr>
      </w:pPr>
      <w:r w:rsidRPr="009B454A">
        <w:rPr>
          <w:rFonts w:hint="eastAsia"/>
          <w:b/>
          <w:bCs/>
          <w:sz w:val="24"/>
        </w:rPr>
        <w:t>個別分析結果と考察</w:t>
      </w:r>
    </w:p>
    <w:p w14:paraId="1910A574" w14:textId="3BA01572" w:rsidR="00B075FD" w:rsidRPr="009B454A" w:rsidRDefault="00B075FD" w:rsidP="00B075FD">
      <w:pPr>
        <w:pStyle w:val="a9"/>
        <w:numPr>
          <w:ilvl w:val="1"/>
          <w:numId w:val="1"/>
        </w:numPr>
        <w:ind w:right="420"/>
        <w:rPr>
          <w:b/>
          <w:bCs/>
        </w:rPr>
      </w:pPr>
      <m:oMath>
        <m:sSup>
          <m:sSupPr>
            <m:ctrlPr>
              <w:rPr>
                <w:rFonts w:ascii="Cambria Math" w:hAnsi="Cambria Math"/>
                <w:b/>
                <w:bCs/>
                <w:i/>
              </w:rPr>
            </m:ctrlPr>
          </m:sSupPr>
          <m:e>
            <m:r>
              <m:rPr>
                <m:sty m:val="bi"/>
              </m:rPr>
              <w:rPr>
                <w:rFonts w:ascii="Cambria Math" w:hAnsi="Cambria Math" w:hint="eastAsia"/>
              </w:rPr>
              <m:t>χ</m:t>
            </m:r>
          </m:e>
          <m:sup>
            <m:r>
              <m:rPr>
                <m:sty m:val="bi"/>
              </m:rPr>
              <w:rPr>
                <w:rFonts w:ascii="Cambria Math" w:hAnsi="Cambria Math"/>
              </w:rPr>
              <m:t>2</m:t>
            </m:r>
          </m:sup>
        </m:sSup>
      </m:oMath>
      <w:r w:rsidRPr="009B454A">
        <w:rPr>
          <w:rFonts w:hint="eastAsia"/>
          <w:b/>
          <w:bCs/>
        </w:rPr>
        <w:t>適合度検定</w:t>
      </w:r>
    </w:p>
    <w:p w14:paraId="1FF3523A" w14:textId="3125C66E" w:rsidR="007D614D" w:rsidRDefault="008D2CC3" w:rsidP="00C07233">
      <w:pPr>
        <w:pStyle w:val="a9"/>
        <w:ind w:left="750" w:right="420"/>
      </w:pPr>
      <w:r>
        <w:rPr>
          <w:rFonts w:hint="eastAsia"/>
        </w:rPr>
        <w:t>＜実行結果＞</w:t>
      </w:r>
    </w:p>
    <w:p w14:paraId="04111818" w14:textId="77777777" w:rsidR="00C07233" w:rsidRDefault="00C07233" w:rsidP="00C07233">
      <w:pPr>
        <w:pStyle w:val="a9"/>
        <w:ind w:left="750" w:right="420"/>
        <w:rPr>
          <w:rFonts w:hint="eastAsia"/>
        </w:rPr>
      </w:pPr>
    </w:p>
    <w:p w14:paraId="699B2392" w14:textId="0B5831E7" w:rsidR="00A24D47" w:rsidRDefault="007D614D" w:rsidP="003524F7">
      <w:pPr>
        <w:pStyle w:val="a9"/>
        <w:ind w:left="750" w:right="420"/>
        <w:jc w:val="center"/>
      </w:pPr>
      <w:r>
        <w:rPr>
          <w:rFonts w:hint="eastAsia"/>
        </w:rPr>
        <w:t xml:space="preserve">図1.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D614D">
        <w:rPr>
          <w:rFonts w:hint="eastAsia"/>
        </w:rPr>
        <w:t>適合度検定</w:t>
      </w:r>
      <w:r>
        <w:rPr>
          <w:rFonts w:hint="eastAsia"/>
        </w:rPr>
        <w:t>の実行結果</w:t>
      </w:r>
    </w:p>
    <w:p w14:paraId="179AD963" w14:textId="4829FF20" w:rsidR="003524F7" w:rsidRDefault="00C02DC0" w:rsidP="003524F7">
      <w:pPr>
        <w:pStyle w:val="a9"/>
        <w:ind w:left="0" w:right="-1"/>
        <w:jc w:val="center"/>
      </w:pPr>
      <w:r w:rsidRPr="00C02DC0">
        <w:drawing>
          <wp:inline distT="0" distB="0" distL="0" distR="0" wp14:anchorId="28B7EC38" wp14:editId="6BEEEDE9">
            <wp:extent cx="4982270" cy="743054"/>
            <wp:effectExtent l="0" t="0" r="0" b="0"/>
            <wp:docPr id="959414509"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14509" name="図 1" descr="テキスト&#10;&#10;AI 生成コンテンツは誤りを含む可能性があります。"/>
                    <pic:cNvPicPr/>
                  </pic:nvPicPr>
                  <pic:blipFill>
                    <a:blip r:embed="rId5"/>
                    <a:stretch>
                      <a:fillRect/>
                    </a:stretch>
                  </pic:blipFill>
                  <pic:spPr>
                    <a:xfrm>
                      <a:off x="0" y="0"/>
                      <a:ext cx="4982270" cy="743054"/>
                    </a:xfrm>
                    <a:prstGeom prst="rect">
                      <a:avLst/>
                    </a:prstGeom>
                  </pic:spPr>
                </pic:pic>
              </a:graphicData>
            </a:graphic>
          </wp:inline>
        </w:drawing>
      </w:r>
    </w:p>
    <w:p w14:paraId="4FAA9F47" w14:textId="1A141A11" w:rsidR="003524F7" w:rsidRDefault="00C02DC0" w:rsidP="003524F7">
      <w:pPr>
        <w:pStyle w:val="a9"/>
        <w:ind w:left="0" w:right="420"/>
      </w:pPr>
      <w:r>
        <w:rPr>
          <w:noProof/>
        </w:rPr>
        <w:drawing>
          <wp:inline distT="0" distB="0" distL="0" distR="0" wp14:anchorId="1038C1B0" wp14:editId="0424C4A3">
            <wp:extent cx="5400040" cy="4050030"/>
            <wp:effectExtent l="0" t="0" r="0" b="7620"/>
            <wp:docPr id="685280283" name="図 5" descr="グラフ, ヒスト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80283" name="図 5" descr="グラフ, ヒストグラム&#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15DFE9A7" w14:textId="77777777" w:rsidR="003524F7" w:rsidRDefault="003524F7" w:rsidP="003524F7">
      <w:pPr>
        <w:pStyle w:val="a9"/>
        <w:ind w:left="750" w:right="420"/>
        <w:rPr>
          <w:rFonts w:hint="eastAsia"/>
        </w:rPr>
      </w:pPr>
    </w:p>
    <w:p w14:paraId="60AEFF07" w14:textId="0D6E1013" w:rsidR="00B14B6F" w:rsidRDefault="00B14B6F" w:rsidP="007D614D">
      <w:pPr>
        <w:pStyle w:val="a9"/>
        <w:ind w:left="750" w:right="420"/>
      </w:pPr>
      <w:r>
        <w:rPr>
          <w:rFonts w:hint="eastAsia"/>
        </w:rPr>
        <w:t>＜考察＞</w:t>
      </w:r>
    </w:p>
    <w:p w14:paraId="477C2D17" w14:textId="7A8C2E21" w:rsidR="00B14B6F" w:rsidRPr="00C46B62" w:rsidRDefault="00C46B62" w:rsidP="007D614D">
      <w:pPr>
        <w:pStyle w:val="a9"/>
        <w:ind w:left="750" w:right="420"/>
      </w:pPr>
      <w:r w:rsidRPr="00C46B62">
        <w:t>χ²検定は、各出現回数の度数が理論予測とどれほど異なるかを評価する。新しいデータセット（n=258, λ≈4.08）で再検定した結果、χ²値は</w:t>
      </w:r>
      <w:r>
        <w:rPr>
          <w:rFonts w:hint="eastAsia"/>
        </w:rPr>
        <w:t>1396.66</w:t>
      </w:r>
      <w:r w:rsidRPr="00C46B62">
        <w:t>、p値は0.000となった。 元のデータでのχ²値（約2.6万）と比較すると、値は劇的に減少し、ポアソン分布との全体的な形状の類似性が増したことがうか</w:t>
      </w:r>
      <w:r w:rsidRPr="00C46B62">
        <w:lastRenderedPageBreak/>
        <w:t>がえる。しかし、p値は依然として有意水準0.05を大きく下回っており、「データがポアソン分布に従う」という帰無仮説は統計的に明確に棄却される。 この結果は、たとえ課題要件を満たすようにデータを調整し、分布の当てはまりが改善したとしても、観測された度数分布とポアソン分布の形状との間には、偶然では説明できないほどの隔たりが依然として存在していることを示している。</w:t>
      </w:r>
    </w:p>
    <w:p w14:paraId="47DAEBC7" w14:textId="77777777" w:rsidR="003524F7" w:rsidRPr="007D614D" w:rsidRDefault="003524F7" w:rsidP="007D614D">
      <w:pPr>
        <w:pStyle w:val="a9"/>
        <w:ind w:left="750" w:right="420"/>
        <w:rPr>
          <w:rFonts w:hint="eastAsia"/>
        </w:rPr>
      </w:pPr>
    </w:p>
    <w:p w14:paraId="27012160" w14:textId="38C24A00" w:rsidR="00B075FD" w:rsidRPr="009B454A" w:rsidRDefault="00B075FD" w:rsidP="00B075FD">
      <w:pPr>
        <w:pStyle w:val="a9"/>
        <w:numPr>
          <w:ilvl w:val="1"/>
          <w:numId w:val="1"/>
        </w:numPr>
        <w:ind w:right="420"/>
        <w:rPr>
          <w:b/>
          <w:bCs/>
        </w:rPr>
      </w:pPr>
      <w:r w:rsidRPr="009B454A">
        <w:rPr>
          <w:rFonts w:hint="eastAsia"/>
          <w:b/>
          <w:bCs/>
        </w:rPr>
        <w:t>過分散検定</w:t>
      </w:r>
    </w:p>
    <w:p w14:paraId="28A090FA" w14:textId="4758A4B0" w:rsidR="005731A6" w:rsidRDefault="00A60E72" w:rsidP="00C07233">
      <w:pPr>
        <w:ind w:left="360" w:right="420"/>
      </w:pPr>
      <w:r>
        <w:rPr>
          <w:rFonts w:hint="eastAsia"/>
        </w:rPr>
        <w:t>＜実行結果＞</w:t>
      </w:r>
    </w:p>
    <w:p w14:paraId="51A25A1A" w14:textId="77777777" w:rsidR="008627F6" w:rsidRDefault="008627F6" w:rsidP="00C07233">
      <w:pPr>
        <w:ind w:left="360" w:right="420"/>
        <w:rPr>
          <w:rFonts w:hint="eastAsia"/>
        </w:rPr>
      </w:pPr>
    </w:p>
    <w:p w14:paraId="5B001321" w14:textId="4DDD7125" w:rsidR="006B7E7C" w:rsidRDefault="005731A6" w:rsidP="00C07233">
      <w:pPr>
        <w:ind w:left="360" w:right="420"/>
        <w:jc w:val="center"/>
      </w:pPr>
      <w:r>
        <w:rPr>
          <w:rFonts w:hint="eastAsia"/>
        </w:rPr>
        <w:t>図2 過分散検定の実行結果</w:t>
      </w:r>
    </w:p>
    <w:p w14:paraId="7330880D" w14:textId="27E04E0A" w:rsidR="00825217" w:rsidRDefault="00C02DC0" w:rsidP="00825217">
      <w:pPr>
        <w:ind w:right="420"/>
        <w:rPr>
          <w:rFonts w:hint="eastAsia"/>
        </w:rPr>
      </w:pPr>
      <w:r w:rsidRPr="00C02DC0">
        <w:drawing>
          <wp:inline distT="0" distB="0" distL="0" distR="0" wp14:anchorId="423693EA" wp14:editId="1131F4BA">
            <wp:extent cx="5400040" cy="946785"/>
            <wp:effectExtent l="0" t="0" r="0" b="5715"/>
            <wp:docPr id="711678687"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78687" name="図 1" descr="テキスト&#10;&#10;AI 生成コンテンツは誤りを含む可能性があります。"/>
                    <pic:cNvPicPr/>
                  </pic:nvPicPr>
                  <pic:blipFill>
                    <a:blip r:embed="rId7"/>
                    <a:stretch>
                      <a:fillRect/>
                    </a:stretch>
                  </pic:blipFill>
                  <pic:spPr>
                    <a:xfrm>
                      <a:off x="0" y="0"/>
                      <a:ext cx="5400040" cy="946785"/>
                    </a:xfrm>
                    <a:prstGeom prst="rect">
                      <a:avLst/>
                    </a:prstGeom>
                  </pic:spPr>
                </pic:pic>
              </a:graphicData>
            </a:graphic>
          </wp:inline>
        </w:drawing>
      </w:r>
    </w:p>
    <w:p w14:paraId="22276789" w14:textId="77777777" w:rsidR="003524F7" w:rsidRDefault="003524F7" w:rsidP="003524F7">
      <w:pPr>
        <w:ind w:left="360" w:right="420"/>
        <w:rPr>
          <w:rFonts w:hint="eastAsia"/>
        </w:rPr>
      </w:pPr>
    </w:p>
    <w:p w14:paraId="2DB75DD1" w14:textId="039EFE8C" w:rsidR="006B7E7C" w:rsidRDefault="006B7E7C" w:rsidP="006B7E7C">
      <w:pPr>
        <w:ind w:left="360" w:right="420"/>
      </w:pPr>
      <w:r>
        <w:rPr>
          <w:rFonts w:hint="eastAsia"/>
        </w:rPr>
        <w:t>＜考察＞</w:t>
      </w:r>
    </w:p>
    <w:p w14:paraId="33C95C4F" w14:textId="6A433CC7" w:rsidR="003524F7" w:rsidRPr="00825217" w:rsidRDefault="00825217" w:rsidP="006B7E7C">
      <w:pPr>
        <w:ind w:left="360" w:right="420"/>
      </w:pPr>
      <w:r w:rsidRPr="00825217">
        <w:t>この検定は、ポアソン分布の根幹をなす「平均と分散が等しい」という前提を検証する。新しいデータセットにおける分散指数（Var/Mean）は、約</w:t>
      </w:r>
      <w:r>
        <w:rPr>
          <w:rFonts w:hint="eastAsia"/>
        </w:rPr>
        <w:t>2.388</w:t>
      </w:r>
      <w:r w:rsidRPr="00825217">
        <w:t>となった。この値は、元のデータでの分析時（約3.74）よりも1に近づいた。これは、楽曲を半分に分割することで、極端なカウントを持つサンプルが減り、全体のばらつきが緩和されたことを意味する。 しかし、分散指数は依然として1を明確に上回っており、p値も実質的にゼロ（p=0.000）であることから、この過分散が統計的に極めて有意であることが裏付けられた。ポアソン分布への不適合の根本原因は、この解消しきれない「過分散」という構造的特性にあることが、この検定によって確定した。</w:t>
      </w:r>
    </w:p>
    <w:p w14:paraId="111104E6" w14:textId="77777777" w:rsidR="003524F7" w:rsidRDefault="003524F7" w:rsidP="006B7E7C">
      <w:pPr>
        <w:ind w:left="360" w:right="420"/>
        <w:rPr>
          <w:rFonts w:hint="eastAsia"/>
        </w:rPr>
      </w:pPr>
    </w:p>
    <w:p w14:paraId="2BE51C2C" w14:textId="1D281BA3" w:rsidR="00B075FD" w:rsidRPr="009B454A" w:rsidRDefault="00B075FD" w:rsidP="00B075FD">
      <w:pPr>
        <w:pStyle w:val="a9"/>
        <w:numPr>
          <w:ilvl w:val="1"/>
          <w:numId w:val="1"/>
        </w:numPr>
        <w:ind w:right="420"/>
        <w:rPr>
          <w:b/>
          <w:bCs/>
        </w:rPr>
      </w:pPr>
      <w:r w:rsidRPr="009B454A">
        <w:rPr>
          <w:rFonts w:hint="eastAsia"/>
          <w:b/>
          <w:bCs/>
        </w:rPr>
        <w:t>Q-Qプロット</w:t>
      </w:r>
    </w:p>
    <w:p w14:paraId="67423B21" w14:textId="51ACCBD7" w:rsidR="001C5081" w:rsidRDefault="001C5081" w:rsidP="001C5081">
      <w:pPr>
        <w:ind w:left="360" w:right="420"/>
      </w:pPr>
      <w:r>
        <w:rPr>
          <w:rFonts w:hint="eastAsia"/>
        </w:rPr>
        <w:t>＜実行結果＞</w:t>
      </w:r>
    </w:p>
    <w:p w14:paraId="513D1E69" w14:textId="7EF8EBBA" w:rsidR="001C5081" w:rsidRDefault="00CE4901" w:rsidP="003524F7">
      <w:pPr>
        <w:ind w:left="360" w:right="420"/>
        <w:jc w:val="center"/>
      </w:pPr>
      <w:r>
        <w:rPr>
          <w:rFonts w:hint="eastAsia"/>
        </w:rPr>
        <w:t>図3 Q-Qプロットの実行結果</w:t>
      </w:r>
    </w:p>
    <w:p w14:paraId="561E42E6" w14:textId="6A962ECF" w:rsidR="003524F7" w:rsidRDefault="00C02DC0" w:rsidP="00F05EED">
      <w:pPr>
        <w:ind w:right="420"/>
      </w:pPr>
      <w:r w:rsidRPr="00C02DC0">
        <w:lastRenderedPageBreak/>
        <w:drawing>
          <wp:inline distT="0" distB="0" distL="0" distR="0" wp14:anchorId="04B4574B" wp14:editId="2472B09F">
            <wp:extent cx="5400040" cy="1638935"/>
            <wp:effectExtent l="0" t="0" r="0" b="0"/>
            <wp:docPr id="122795419"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5419" name="図 1" descr="テキスト&#10;&#10;AI 生成コンテンツは誤りを含む可能性があります。"/>
                    <pic:cNvPicPr/>
                  </pic:nvPicPr>
                  <pic:blipFill>
                    <a:blip r:embed="rId8"/>
                    <a:stretch>
                      <a:fillRect/>
                    </a:stretch>
                  </pic:blipFill>
                  <pic:spPr>
                    <a:xfrm>
                      <a:off x="0" y="0"/>
                      <a:ext cx="5400040" cy="1638935"/>
                    </a:xfrm>
                    <a:prstGeom prst="rect">
                      <a:avLst/>
                    </a:prstGeom>
                  </pic:spPr>
                </pic:pic>
              </a:graphicData>
            </a:graphic>
          </wp:inline>
        </w:drawing>
      </w:r>
    </w:p>
    <w:p w14:paraId="36D37093" w14:textId="6DBE9435" w:rsidR="003524F7" w:rsidRDefault="00C02DC0" w:rsidP="00F05EED">
      <w:pPr>
        <w:ind w:right="420"/>
      </w:pPr>
      <w:r>
        <w:rPr>
          <w:noProof/>
        </w:rPr>
        <w:drawing>
          <wp:inline distT="0" distB="0" distL="0" distR="0" wp14:anchorId="4348A57F" wp14:editId="7270BB5B">
            <wp:extent cx="5400040" cy="4050030"/>
            <wp:effectExtent l="0" t="0" r="0" b="7620"/>
            <wp:docPr id="1567043969" name="図 6"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43969" name="図 6" descr="グラフ, 散布図&#10;&#10;AI 生成コンテンツは誤りを含む可能性があります。"/>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7CC1251F" w14:textId="6BE383E3" w:rsidR="001C5081" w:rsidRDefault="001C5081" w:rsidP="005C5266">
      <w:pPr>
        <w:ind w:right="420"/>
        <w:rPr>
          <w:rFonts w:hint="eastAsia"/>
        </w:rPr>
      </w:pPr>
    </w:p>
    <w:p w14:paraId="19A94B4A" w14:textId="77777777" w:rsidR="00C319F4" w:rsidRDefault="0003027B" w:rsidP="00C319F4">
      <w:pPr>
        <w:ind w:left="360" w:right="420"/>
      </w:pPr>
      <w:r>
        <w:rPr>
          <w:rFonts w:hint="eastAsia"/>
        </w:rPr>
        <w:t>＜考察＞</w:t>
      </w:r>
    </w:p>
    <w:p w14:paraId="30E5AF59" w14:textId="2291D126" w:rsidR="00C319F4" w:rsidRPr="00C319F4" w:rsidRDefault="00C319F4" w:rsidP="00C319F4">
      <w:pPr>
        <w:ind w:left="360" w:right="420"/>
      </w:pPr>
      <w:r w:rsidRPr="00C319F4">
        <w:t>Q-Qプロットは、観測データと理論分布の形状のズレを視覚的に診断する。新しいデータセット（n=258, λ≈4.08）でのプロットでは、</w:t>
      </w:r>
      <w:r w:rsidRPr="00C319F4">
        <w:rPr>
          <w:rStyle w:val="ab"/>
          <w:b w:val="0"/>
          <w:bCs w:val="0"/>
        </w:rPr>
        <w:t>決定係数R²が0.937</w:t>
      </w:r>
      <w:r w:rsidRPr="00C319F4">
        <w:t>と1に近い値を示した。これは、観測された分位点の変動の約94%がポアソン分布の理論分位点によって線形的に説明できることを意味し、</w:t>
      </w:r>
      <w:r w:rsidRPr="00C319F4">
        <w:rPr>
          <w:rStyle w:val="ab"/>
          <w:b w:val="0"/>
          <w:bCs w:val="0"/>
        </w:rPr>
        <w:t>分布の全体的な形状がポアソン分布にかなり近似した</w:t>
      </w:r>
      <w:r w:rsidRPr="00C319F4">
        <w:t>ことを示している。しかし、詳細な指標を見ると、依然として理論からの体系的な逸脱が残存していることがわかる。第一に、</w:t>
      </w:r>
      <w:r w:rsidRPr="00C319F4">
        <w:rPr>
          <w:rStyle w:val="ab"/>
          <w:b w:val="0"/>
          <w:bCs w:val="0"/>
        </w:rPr>
        <w:t>傾き（slope）が1.504</w:t>
      </w:r>
      <w:r w:rsidRPr="00C319F4">
        <w:t>と、理想値である1.0を大きく上回っている。これは、観測データの分位点が理論値よりも約1.5倍の広がりを持っていることを示しており、過</w:t>
      </w:r>
      <w:r w:rsidRPr="00C319F4">
        <w:lastRenderedPageBreak/>
        <w:t>分散検定で指摘された「分散が平均を上回る」という事実を、視覚的に裏付ける証拠である。第二に、</w:t>
      </w:r>
      <w:r w:rsidRPr="00C319F4">
        <w:rPr>
          <w:rStyle w:val="ab"/>
          <w:b w:val="0"/>
          <w:bCs w:val="0"/>
        </w:rPr>
        <w:t>最大誤差が5.000</w:t>
      </w:r>
      <w:r w:rsidRPr="00C319F4">
        <w:t>という値は、分布のどこか（特に人称代名詞の出現回数が多い裾の部分）で、モデルの予測が現実から最大で5カウントも乖離している点があることを示している。全体としてはフィットしているように見えても、このような局所的な大きな誤差は、ポアソンモデルが極端な事象を捉えきれていない限界を示唆している。</w:t>
      </w:r>
    </w:p>
    <w:p w14:paraId="164A2EF4" w14:textId="77777777" w:rsidR="00C319F4" w:rsidRDefault="00C319F4" w:rsidP="00C319F4">
      <w:pPr>
        <w:ind w:left="360" w:right="420"/>
        <w:rPr>
          <w:rFonts w:hint="eastAsia"/>
        </w:rPr>
      </w:pPr>
    </w:p>
    <w:p w14:paraId="1DAB1365" w14:textId="68065BEB" w:rsidR="00B075FD" w:rsidRPr="009B454A" w:rsidRDefault="00B075FD" w:rsidP="00B075FD">
      <w:pPr>
        <w:pStyle w:val="a9"/>
        <w:numPr>
          <w:ilvl w:val="1"/>
          <w:numId w:val="1"/>
        </w:numPr>
        <w:ind w:right="420"/>
        <w:rPr>
          <w:b/>
          <w:bCs/>
        </w:rPr>
      </w:pPr>
      <w:r w:rsidRPr="009B454A">
        <w:rPr>
          <w:rFonts w:hint="eastAsia"/>
          <w:b/>
          <w:bCs/>
        </w:rPr>
        <w:t>Kolmogorov-Smirnov（KS）検定</w:t>
      </w:r>
    </w:p>
    <w:p w14:paraId="2743A8DC" w14:textId="2E802317" w:rsidR="004A6C37" w:rsidRDefault="004A6C37" w:rsidP="004A6C37">
      <w:pPr>
        <w:ind w:left="360" w:right="420"/>
      </w:pPr>
      <w:r>
        <w:rPr>
          <w:rFonts w:hint="eastAsia"/>
        </w:rPr>
        <w:t>＜実行結果＞</w:t>
      </w:r>
    </w:p>
    <w:p w14:paraId="14E584E6" w14:textId="110942FA" w:rsidR="004A6C37" w:rsidRDefault="0002183E" w:rsidP="0002183E">
      <w:pPr>
        <w:ind w:right="420"/>
        <w:jc w:val="center"/>
      </w:pPr>
      <w:r>
        <w:rPr>
          <w:rFonts w:hint="eastAsia"/>
        </w:rPr>
        <w:t xml:space="preserve">図4 </w:t>
      </w:r>
      <w:r>
        <w:rPr>
          <w:rFonts w:hint="eastAsia"/>
        </w:rPr>
        <w:t>Kolmogorov-Smirnov（KS）検定</w:t>
      </w:r>
      <w:r>
        <w:rPr>
          <w:rFonts w:hint="eastAsia"/>
        </w:rPr>
        <w:t>の実行結果</w:t>
      </w:r>
    </w:p>
    <w:p w14:paraId="00EDAA6D" w14:textId="1AB61452" w:rsidR="00E148D3" w:rsidRDefault="00E27AE7" w:rsidP="00E148D3">
      <w:pPr>
        <w:ind w:right="420"/>
      </w:pPr>
      <w:r w:rsidRPr="00E27AE7">
        <w:drawing>
          <wp:inline distT="0" distB="0" distL="0" distR="0" wp14:anchorId="14DA4EC0" wp14:editId="1B0144B8">
            <wp:extent cx="5400040" cy="638175"/>
            <wp:effectExtent l="0" t="0" r="0" b="9525"/>
            <wp:docPr id="14277721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72126" name=""/>
                    <pic:cNvPicPr/>
                  </pic:nvPicPr>
                  <pic:blipFill>
                    <a:blip r:embed="rId10"/>
                    <a:stretch>
                      <a:fillRect/>
                    </a:stretch>
                  </pic:blipFill>
                  <pic:spPr>
                    <a:xfrm>
                      <a:off x="0" y="0"/>
                      <a:ext cx="5400040" cy="638175"/>
                    </a:xfrm>
                    <a:prstGeom prst="rect">
                      <a:avLst/>
                    </a:prstGeom>
                  </pic:spPr>
                </pic:pic>
              </a:graphicData>
            </a:graphic>
          </wp:inline>
        </w:drawing>
      </w:r>
    </w:p>
    <w:p w14:paraId="4A6D70D1" w14:textId="77777777" w:rsidR="00E148D3" w:rsidRPr="0002183E" w:rsidRDefault="00E148D3" w:rsidP="00E148D3">
      <w:pPr>
        <w:ind w:right="420"/>
        <w:rPr>
          <w:rFonts w:hint="eastAsia"/>
        </w:rPr>
      </w:pPr>
    </w:p>
    <w:p w14:paraId="670BA0BA" w14:textId="7845B531" w:rsidR="0002183E" w:rsidRDefault="0002183E" w:rsidP="0002183E">
      <w:pPr>
        <w:ind w:right="420"/>
        <w:jc w:val="center"/>
        <w:rPr>
          <w:rFonts w:hint="eastAsia"/>
        </w:rPr>
      </w:pPr>
    </w:p>
    <w:p w14:paraId="1AFEC4AC" w14:textId="1DD432D7" w:rsidR="004A6C37" w:rsidRDefault="007A60CD" w:rsidP="004A6C37">
      <w:pPr>
        <w:ind w:left="360" w:right="420"/>
      </w:pPr>
      <w:r>
        <w:rPr>
          <w:rFonts w:hint="eastAsia"/>
        </w:rPr>
        <w:t>＜考察＞</w:t>
      </w:r>
    </w:p>
    <w:p w14:paraId="004C64F4" w14:textId="7AE06DD9" w:rsidR="00C31C21" w:rsidRPr="00095E6A" w:rsidRDefault="00A806E6" w:rsidP="004A6C37">
      <w:pPr>
        <w:ind w:left="360" w:right="420"/>
      </w:pPr>
      <w:r w:rsidRPr="00095E6A">
        <w:t>KS検定は、累積分布関数（CDF）全体の形状の差を評価する。新しいデータセットでの検定では、p値が0.061という値となった。これは、一般的な有意水準である0.05を上回るため、統計的なルール上は「帰無仮説を棄却できない」、つまり「分布の全体形状がポアソン分布と異なるとは断定できない」という結論になる。</w:t>
      </w:r>
      <w:r w:rsidR="00095E6A" w:rsidRPr="00095E6A">
        <w:t>この結果は、Q-QプロットのR²値が高いことと合わせて、データセットを再構築したことで、観測データの全体的な形状がポアソン分布に非常によく似たものになったことを統計的に強く裏付けている。しかし、これは「データが完全にポアソン分布である」ことを意味するわけではない。むしろ、他の検定（特に過分散検定とχ²検定）が検出した「局所的な度数のズレ」や「分散の異常」といった問題を、CDF全体の最大差を評価するKS検定では捉えきれなかった、と解釈するのが妥当である。この検定の「棄却できない」という結果は、ポアソン分布が第一近似として優れていることを示しつつも、その限界を他の検定結果と合わせて考察する必要があることを示唆している。</w:t>
      </w:r>
    </w:p>
    <w:p w14:paraId="07BA9296" w14:textId="77777777" w:rsidR="00095E6A" w:rsidRDefault="00095E6A" w:rsidP="004A6C37">
      <w:pPr>
        <w:ind w:left="360" w:right="420"/>
        <w:rPr>
          <w:rFonts w:hint="eastAsia"/>
        </w:rPr>
      </w:pPr>
    </w:p>
    <w:p w14:paraId="650AFAB1" w14:textId="2F1EADCC" w:rsidR="00B075FD" w:rsidRPr="009B454A" w:rsidRDefault="00B075FD" w:rsidP="00B075FD">
      <w:pPr>
        <w:pStyle w:val="a9"/>
        <w:numPr>
          <w:ilvl w:val="1"/>
          <w:numId w:val="1"/>
        </w:numPr>
        <w:ind w:right="420"/>
        <w:rPr>
          <w:b/>
          <w:bCs/>
        </w:rPr>
      </w:pPr>
      <w:r w:rsidRPr="009B454A">
        <w:rPr>
          <w:rFonts w:hint="eastAsia"/>
          <w:b/>
          <w:bCs/>
        </w:rPr>
        <w:t>AICによるモデル比較</w:t>
      </w:r>
    </w:p>
    <w:p w14:paraId="3769166B" w14:textId="1488C516" w:rsidR="000560AD" w:rsidRDefault="000560AD" w:rsidP="000560AD">
      <w:pPr>
        <w:ind w:left="360" w:right="420"/>
      </w:pPr>
      <w:r>
        <w:rPr>
          <w:rFonts w:hint="eastAsia"/>
        </w:rPr>
        <w:t>＜実行結果＞</w:t>
      </w:r>
    </w:p>
    <w:p w14:paraId="62C486F7" w14:textId="60748CAE" w:rsidR="000560AD" w:rsidRDefault="003F4ABC" w:rsidP="003F4ABC">
      <w:pPr>
        <w:ind w:right="420"/>
        <w:jc w:val="center"/>
      </w:pPr>
      <w:r>
        <w:rPr>
          <w:rFonts w:hint="eastAsia"/>
        </w:rPr>
        <w:t xml:space="preserve">図5 </w:t>
      </w:r>
      <w:r>
        <w:rPr>
          <w:rFonts w:hint="eastAsia"/>
        </w:rPr>
        <w:t>AICによるモデル比較</w:t>
      </w:r>
      <w:r>
        <w:rPr>
          <w:rFonts w:hint="eastAsia"/>
        </w:rPr>
        <w:t>の実行結果</w:t>
      </w:r>
    </w:p>
    <w:p w14:paraId="58755D49" w14:textId="3C26FF14" w:rsidR="00E148D3" w:rsidRPr="003F4ABC" w:rsidRDefault="00E27AE7" w:rsidP="00E148D3">
      <w:pPr>
        <w:ind w:right="420"/>
        <w:rPr>
          <w:rFonts w:hint="eastAsia"/>
        </w:rPr>
      </w:pPr>
      <w:r w:rsidRPr="00E27AE7">
        <w:drawing>
          <wp:inline distT="0" distB="0" distL="0" distR="0" wp14:anchorId="6A4131C1" wp14:editId="4CFDB574">
            <wp:extent cx="5400040" cy="468630"/>
            <wp:effectExtent l="0" t="0" r="0" b="7620"/>
            <wp:docPr id="35612474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24746" name=""/>
                    <pic:cNvPicPr/>
                  </pic:nvPicPr>
                  <pic:blipFill>
                    <a:blip r:embed="rId11"/>
                    <a:stretch>
                      <a:fillRect/>
                    </a:stretch>
                  </pic:blipFill>
                  <pic:spPr>
                    <a:xfrm>
                      <a:off x="0" y="0"/>
                      <a:ext cx="5400040" cy="468630"/>
                    </a:xfrm>
                    <a:prstGeom prst="rect">
                      <a:avLst/>
                    </a:prstGeom>
                  </pic:spPr>
                </pic:pic>
              </a:graphicData>
            </a:graphic>
          </wp:inline>
        </w:drawing>
      </w:r>
    </w:p>
    <w:p w14:paraId="24613211" w14:textId="253B8ABA" w:rsidR="003F4ABC" w:rsidRDefault="003F4ABC" w:rsidP="000560AD">
      <w:pPr>
        <w:ind w:left="360" w:right="420"/>
        <w:rPr>
          <w:rFonts w:hint="eastAsia"/>
        </w:rPr>
      </w:pPr>
    </w:p>
    <w:p w14:paraId="065532B5" w14:textId="060CEF12" w:rsidR="003524F7" w:rsidRDefault="00A371F7" w:rsidP="001F1EEA">
      <w:pPr>
        <w:ind w:left="360" w:right="420"/>
        <w:rPr>
          <w:rFonts w:hint="eastAsia"/>
        </w:rPr>
      </w:pPr>
      <w:r>
        <w:rPr>
          <w:rFonts w:hint="eastAsia"/>
        </w:rPr>
        <w:t>＜考察＞</w:t>
      </w:r>
      <w:r>
        <w:br/>
      </w:r>
      <w:r w:rsidR="001F1EEA" w:rsidRPr="001F1EEA">
        <w:t>AICは、モデルの当てはまりの良さと複雑さのバランスから最適なモデルを選択する客観的な指標である。結果は、負の二項分布のAIC（1302.36）が、ポアソン分布のAIC（1365.73）を約63.4も下回った。この差（ΔAIC）は、元のデータでの分析時（約127）よりは小さくなったが、依然として「決定的な差」と判断できるレベルである（一般にΔAIC &gt; 10で決定的とされる）。これは、たとえデータ全体の形状がポアソン分布に酷似していたとしても、なお残存するわずかな「過分散」の情報を説明するためには、負の二項分布が持つ追加の分散パラメータが依然として統計的に見て不可欠であることを意味している。Q-QプロットやKS検定が示した「当てはまりの良さ」にもかかわらず、AICがこれほど明確な差を示したという事実は、我々が扱う現象の複雑さを物語っている。ポアソン分布は良い近似かもしれないが、負の二項分布は「より真実に近い」モデルなのである。この客観的な指標により、この現象を記述する最終的なモデルとして、負の二項分布が優位であることが確認された。</w:t>
      </w:r>
    </w:p>
    <w:p w14:paraId="0A343C95" w14:textId="77777777" w:rsidR="00A371F7" w:rsidRDefault="00A371F7" w:rsidP="000560AD">
      <w:pPr>
        <w:ind w:left="360" w:right="420"/>
        <w:rPr>
          <w:rFonts w:hint="eastAsia"/>
        </w:rPr>
      </w:pPr>
    </w:p>
    <w:p w14:paraId="0C3EECA8" w14:textId="08701EE2" w:rsidR="003236A5" w:rsidRPr="009B454A" w:rsidRDefault="003236A5" w:rsidP="003236A5">
      <w:pPr>
        <w:pStyle w:val="a9"/>
        <w:numPr>
          <w:ilvl w:val="0"/>
          <w:numId w:val="1"/>
        </w:numPr>
        <w:ind w:right="420"/>
        <w:rPr>
          <w:b/>
          <w:bCs/>
          <w:sz w:val="24"/>
        </w:rPr>
      </w:pPr>
      <w:r w:rsidRPr="009B454A">
        <w:rPr>
          <w:rFonts w:hint="eastAsia"/>
          <w:b/>
          <w:bCs/>
          <w:sz w:val="24"/>
        </w:rPr>
        <w:t>総合考察</w:t>
      </w:r>
    </w:p>
    <w:p w14:paraId="314F291D" w14:textId="318FFAE7" w:rsidR="00A476A1" w:rsidRPr="00541823" w:rsidRDefault="004D12E7" w:rsidP="00A476A1">
      <w:pPr>
        <w:ind w:left="360" w:right="420"/>
        <w:rPr>
          <w:rFonts w:hint="eastAsia"/>
        </w:rPr>
      </w:pPr>
      <w:r w:rsidRPr="00541823">
        <w:t>本分析は、Mrs. GREEN APPLEの</w:t>
      </w:r>
      <w:r w:rsidR="00631402">
        <w:rPr>
          <w:rFonts w:hint="eastAsia"/>
        </w:rPr>
        <w:t>ボーカル、大森元貴の</w:t>
      </w:r>
      <w:r w:rsidRPr="00541823">
        <w:t>歌詞における人称代名詞の出現頻度が、理論的なポアソン分布に従うか否かを、課題要件に厳密に従ってデータセットを再構築（n=258, λ≈4.08）した上で、多角的に検証した。最終的な結論として、たとえ平均到着率を課題要件内に完全に収めてもなお、観測データは単純なポアソン分布に完全には従わない、ということが明らかになった。その不適合の度合いは元のデータより大幅に緩和されたものの、現象の根源的な性質は変わらなかったのである。その核心にあるのは、一貫して観測された「過分散」という統計的特性である。過分散検定が示したように、データの分散は依然として平均を約1.58倍上回り、この構造が統計的に有意であることが確認された。これは、歌詞における人称代名詞の出現が、均質なランダム事象ではないことの動かぬ証拠である。作詞という行為は、楽曲ごとに込められるテーマ、感情、物語構造によって、その表現方法（人称代名詞の使用頻度）を変動させる。たとえ楽曲を半分に分割し、極端なばらつきを緩和しても、前半の歌詞と後半の歌詞が全くの無関係ではないという、創作物故の構造的な関連性が残る。この「創造的異質性」の痕跡が、統計的な「過分散」としてデータに残り続けるのである。この結論は、AICによるモデル比較によって決定的なものとなった。依然として負の二項分布がポアソン分布より優れたモデルとして選択された事実は、データに残存する微妙な過分散を捉えるためには、より柔軟なモデルが必須であ</w:t>
      </w:r>
      <w:r w:rsidRPr="00541823">
        <w:lastRenderedPageBreak/>
        <w:t>ることを示している。一方で、Q-QプロットのR²値の改善やKS検定が高いp値を示したことは、分布の全体的な形状がポアソン分布にかなり近いことも示しており、分析の多面性を浮き彫りにした。最終的に、本</w:t>
      </w:r>
      <w:r w:rsidR="005B71CC">
        <w:rPr>
          <w:rFonts w:hint="eastAsia"/>
        </w:rPr>
        <w:t>レポート</w:t>
      </w:r>
      <w:r w:rsidRPr="00541823">
        <w:t>は、歌詞という創作物が持つ統計的パターンが、単純な確率モデルでは捉えきれない、豊かで複雑な構造を持つことを定量的に示した。その構造の根源には、アーティストの創造的意図が存在する。今回の厳密なデータ調整を経てもなお、この結論が揺</w:t>
      </w:r>
      <w:r w:rsidRPr="00541823">
        <w:rPr>
          <w:rFonts w:hint="eastAsia"/>
        </w:rPr>
        <w:t>が</w:t>
      </w:r>
      <w:r w:rsidRPr="00541823">
        <w:t>なかったことは、その主張の頑健性をより一層高めるものである。</w:t>
      </w:r>
    </w:p>
    <w:sectPr w:rsidR="00A476A1" w:rsidRPr="005418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37CF"/>
    <w:multiLevelType w:val="multilevel"/>
    <w:tmpl w:val="5268F72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4A879A2"/>
    <w:multiLevelType w:val="hybridMultilevel"/>
    <w:tmpl w:val="1B2A5B2A"/>
    <w:lvl w:ilvl="0" w:tplc="BEBCE62E">
      <w:start w:val="1"/>
      <w:numFmt w:val="decimal"/>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539851877">
    <w:abstractNumId w:val="0"/>
  </w:num>
  <w:num w:numId="2" w16cid:durableId="1907182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E0"/>
    <w:rsid w:val="0002183E"/>
    <w:rsid w:val="0003027B"/>
    <w:rsid w:val="000560AD"/>
    <w:rsid w:val="00064E03"/>
    <w:rsid w:val="00095E6A"/>
    <w:rsid w:val="000F3816"/>
    <w:rsid w:val="00151260"/>
    <w:rsid w:val="00183286"/>
    <w:rsid w:val="001C5081"/>
    <w:rsid w:val="001F1EEA"/>
    <w:rsid w:val="0025617A"/>
    <w:rsid w:val="003201EE"/>
    <w:rsid w:val="003236A5"/>
    <w:rsid w:val="003524F7"/>
    <w:rsid w:val="003F4ABC"/>
    <w:rsid w:val="00456452"/>
    <w:rsid w:val="004A6C37"/>
    <w:rsid w:val="004B0FE0"/>
    <w:rsid w:val="004D12E7"/>
    <w:rsid w:val="0051555E"/>
    <w:rsid w:val="00541823"/>
    <w:rsid w:val="005731A6"/>
    <w:rsid w:val="005B71CC"/>
    <w:rsid w:val="005C5266"/>
    <w:rsid w:val="00624E69"/>
    <w:rsid w:val="00631402"/>
    <w:rsid w:val="006B7E7C"/>
    <w:rsid w:val="007A60CD"/>
    <w:rsid w:val="007D614D"/>
    <w:rsid w:val="00825217"/>
    <w:rsid w:val="00825711"/>
    <w:rsid w:val="008627F6"/>
    <w:rsid w:val="0086328E"/>
    <w:rsid w:val="008B1893"/>
    <w:rsid w:val="008D2CC3"/>
    <w:rsid w:val="009B454A"/>
    <w:rsid w:val="00A24D47"/>
    <w:rsid w:val="00A371F7"/>
    <w:rsid w:val="00A476A1"/>
    <w:rsid w:val="00A60E72"/>
    <w:rsid w:val="00A806E6"/>
    <w:rsid w:val="00AE29EC"/>
    <w:rsid w:val="00B075FD"/>
    <w:rsid w:val="00B14B6F"/>
    <w:rsid w:val="00B50E36"/>
    <w:rsid w:val="00B83D81"/>
    <w:rsid w:val="00B9765F"/>
    <w:rsid w:val="00C02DC0"/>
    <w:rsid w:val="00C07233"/>
    <w:rsid w:val="00C12094"/>
    <w:rsid w:val="00C306EB"/>
    <w:rsid w:val="00C319F4"/>
    <w:rsid w:val="00C31C21"/>
    <w:rsid w:val="00C46B62"/>
    <w:rsid w:val="00CA01FF"/>
    <w:rsid w:val="00CE16EE"/>
    <w:rsid w:val="00CE4901"/>
    <w:rsid w:val="00D55368"/>
    <w:rsid w:val="00D556D0"/>
    <w:rsid w:val="00D769A6"/>
    <w:rsid w:val="00D956F6"/>
    <w:rsid w:val="00DC6EAB"/>
    <w:rsid w:val="00E148D3"/>
    <w:rsid w:val="00E27AE7"/>
    <w:rsid w:val="00E542DD"/>
    <w:rsid w:val="00E651DB"/>
    <w:rsid w:val="00E713E4"/>
    <w:rsid w:val="00F05EED"/>
    <w:rsid w:val="00FA335F"/>
    <w:rsid w:val="00FB63F9"/>
    <w:rsid w:val="00FE1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2D8112"/>
  <w15:chartTrackingRefBased/>
  <w15:docId w15:val="{8F358147-21B9-425A-AB9E-FEEF5E5F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B0F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B0F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B0FE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B0FE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B0F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B0F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B0F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B0F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B0F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B0FE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B0FE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B0FE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B0FE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B0FE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B0FE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B0FE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B0FE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B0FE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B0F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B0F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0F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B0F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0FE0"/>
    <w:pPr>
      <w:spacing w:before="160" w:after="160"/>
      <w:jc w:val="center"/>
    </w:pPr>
    <w:rPr>
      <w:i/>
      <w:iCs/>
      <w:color w:val="404040" w:themeColor="text1" w:themeTint="BF"/>
    </w:rPr>
  </w:style>
  <w:style w:type="character" w:customStyle="1" w:styleId="a8">
    <w:name w:val="引用文 (文字)"/>
    <w:basedOn w:val="a0"/>
    <w:link w:val="a7"/>
    <w:uiPriority w:val="29"/>
    <w:rsid w:val="004B0FE0"/>
    <w:rPr>
      <w:i/>
      <w:iCs/>
      <w:color w:val="404040" w:themeColor="text1" w:themeTint="BF"/>
    </w:rPr>
  </w:style>
  <w:style w:type="paragraph" w:styleId="a9">
    <w:name w:val="List Paragraph"/>
    <w:basedOn w:val="a"/>
    <w:uiPriority w:val="34"/>
    <w:qFormat/>
    <w:rsid w:val="004B0FE0"/>
    <w:pPr>
      <w:ind w:left="720"/>
      <w:contextualSpacing/>
    </w:pPr>
  </w:style>
  <w:style w:type="character" w:styleId="21">
    <w:name w:val="Intense Emphasis"/>
    <w:basedOn w:val="a0"/>
    <w:uiPriority w:val="21"/>
    <w:qFormat/>
    <w:rsid w:val="004B0FE0"/>
    <w:rPr>
      <w:i/>
      <w:iCs/>
      <w:color w:val="0F4761" w:themeColor="accent1" w:themeShade="BF"/>
    </w:rPr>
  </w:style>
  <w:style w:type="paragraph" w:styleId="22">
    <w:name w:val="Intense Quote"/>
    <w:basedOn w:val="a"/>
    <w:next w:val="a"/>
    <w:link w:val="23"/>
    <w:uiPriority w:val="30"/>
    <w:qFormat/>
    <w:rsid w:val="004B0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B0FE0"/>
    <w:rPr>
      <w:i/>
      <w:iCs/>
      <w:color w:val="0F4761" w:themeColor="accent1" w:themeShade="BF"/>
    </w:rPr>
  </w:style>
  <w:style w:type="character" w:styleId="24">
    <w:name w:val="Intense Reference"/>
    <w:basedOn w:val="a0"/>
    <w:uiPriority w:val="32"/>
    <w:qFormat/>
    <w:rsid w:val="004B0FE0"/>
    <w:rPr>
      <w:b/>
      <w:bCs/>
      <w:smallCaps/>
      <w:color w:val="0F4761" w:themeColor="accent1" w:themeShade="BF"/>
      <w:spacing w:val="5"/>
    </w:rPr>
  </w:style>
  <w:style w:type="character" w:styleId="aa">
    <w:name w:val="Placeholder Text"/>
    <w:basedOn w:val="a0"/>
    <w:uiPriority w:val="99"/>
    <w:semiHidden/>
    <w:rsid w:val="0025617A"/>
    <w:rPr>
      <w:color w:val="666666"/>
    </w:rPr>
  </w:style>
  <w:style w:type="paragraph" w:styleId="Web">
    <w:name w:val="Normal (Web)"/>
    <w:basedOn w:val="a"/>
    <w:uiPriority w:val="99"/>
    <w:semiHidden/>
    <w:unhideWhenUsed/>
    <w:rsid w:val="00456452"/>
    <w:pPr>
      <w:widowControl/>
      <w:spacing w:before="100" w:beforeAutospacing="1" w:after="100" w:afterAutospacing="1"/>
    </w:pPr>
    <w:rPr>
      <w:rFonts w:ascii="ＭＳ Ｐゴシック" w:eastAsia="ＭＳ Ｐゴシック" w:hAnsi="ＭＳ Ｐゴシック" w:cs="ＭＳ Ｐゴシック"/>
      <w:kern w:val="0"/>
      <w:sz w:val="24"/>
      <w14:ligatures w14:val="none"/>
    </w:rPr>
  </w:style>
  <w:style w:type="character" w:styleId="ab">
    <w:name w:val="Strong"/>
    <w:basedOn w:val="a0"/>
    <w:uiPriority w:val="22"/>
    <w:qFormat/>
    <w:rsid w:val="00C31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1275">
      <w:bodyDiv w:val="1"/>
      <w:marLeft w:val="0"/>
      <w:marRight w:val="0"/>
      <w:marTop w:val="0"/>
      <w:marBottom w:val="0"/>
      <w:divBdr>
        <w:top w:val="none" w:sz="0" w:space="0" w:color="auto"/>
        <w:left w:val="none" w:sz="0" w:space="0" w:color="auto"/>
        <w:bottom w:val="none" w:sz="0" w:space="0" w:color="auto"/>
        <w:right w:val="none" w:sz="0" w:space="0" w:color="auto"/>
      </w:divBdr>
    </w:div>
    <w:div w:id="124735940">
      <w:bodyDiv w:val="1"/>
      <w:marLeft w:val="0"/>
      <w:marRight w:val="0"/>
      <w:marTop w:val="0"/>
      <w:marBottom w:val="0"/>
      <w:divBdr>
        <w:top w:val="none" w:sz="0" w:space="0" w:color="auto"/>
        <w:left w:val="none" w:sz="0" w:space="0" w:color="auto"/>
        <w:bottom w:val="none" w:sz="0" w:space="0" w:color="auto"/>
        <w:right w:val="none" w:sz="0" w:space="0" w:color="auto"/>
      </w:divBdr>
    </w:div>
    <w:div w:id="640842735">
      <w:bodyDiv w:val="1"/>
      <w:marLeft w:val="0"/>
      <w:marRight w:val="0"/>
      <w:marTop w:val="0"/>
      <w:marBottom w:val="0"/>
      <w:divBdr>
        <w:top w:val="none" w:sz="0" w:space="0" w:color="auto"/>
        <w:left w:val="none" w:sz="0" w:space="0" w:color="auto"/>
        <w:bottom w:val="none" w:sz="0" w:space="0" w:color="auto"/>
        <w:right w:val="none" w:sz="0" w:space="0" w:color="auto"/>
      </w:divBdr>
    </w:div>
    <w:div w:id="724260875">
      <w:bodyDiv w:val="1"/>
      <w:marLeft w:val="0"/>
      <w:marRight w:val="0"/>
      <w:marTop w:val="0"/>
      <w:marBottom w:val="0"/>
      <w:divBdr>
        <w:top w:val="none" w:sz="0" w:space="0" w:color="auto"/>
        <w:left w:val="none" w:sz="0" w:space="0" w:color="auto"/>
        <w:bottom w:val="none" w:sz="0" w:space="0" w:color="auto"/>
        <w:right w:val="none" w:sz="0" w:space="0" w:color="auto"/>
      </w:divBdr>
    </w:div>
    <w:div w:id="1490711590">
      <w:bodyDiv w:val="1"/>
      <w:marLeft w:val="0"/>
      <w:marRight w:val="0"/>
      <w:marTop w:val="0"/>
      <w:marBottom w:val="0"/>
      <w:divBdr>
        <w:top w:val="none" w:sz="0" w:space="0" w:color="auto"/>
        <w:left w:val="none" w:sz="0" w:space="0" w:color="auto"/>
        <w:bottom w:val="none" w:sz="0" w:space="0" w:color="auto"/>
        <w:right w:val="none" w:sz="0" w:space="0" w:color="auto"/>
      </w:divBdr>
    </w:div>
    <w:div w:id="185442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631</Words>
  <Characters>3600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永田　健人</dc:creator>
  <cp:keywords/>
  <dc:description/>
  <cp:lastModifiedBy>永田　健人</cp:lastModifiedBy>
  <cp:revision>80</cp:revision>
  <cp:lastPrinted>2025-06-17T07:30:00Z</cp:lastPrinted>
  <dcterms:created xsi:type="dcterms:W3CDTF">2025-06-17T06:27:00Z</dcterms:created>
  <dcterms:modified xsi:type="dcterms:W3CDTF">2025-06-17T11:26:00Z</dcterms:modified>
</cp:coreProperties>
</file>