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3CCBE" w14:textId="249C9605" w:rsidR="00A37A3F" w:rsidRDefault="00A929BB" w:rsidP="00352440">
      <w:pPr>
        <w:pStyle w:val="Title"/>
        <w:rPr>
          <w:lang w:val="en-US"/>
        </w:rPr>
      </w:pPr>
      <w:r>
        <w:rPr>
          <w:lang w:val="en-US"/>
        </w:rPr>
        <w:t>Part-time employees report</w:t>
      </w:r>
    </w:p>
    <w:p w14:paraId="1ED95E09" w14:textId="77777777" w:rsidR="00A929BB" w:rsidRPr="00A929BB" w:rsidRDefault="00A929BB" w:rsidP="00A929BB">
      <w:pPr>
        <w:rPr>
          <w:lang w:val="en-US"/>
        </w:rPr>
      </w:pPr>
    </w:p>
    <w:p w14:paraId="2FAC2462" w14:textId="2BBF2A7A" w:rsidR="00A929BB" w:rsidRDefault="00A929BB" w:rsidP="00A929BB">
      <w:pPr>
        <w:pStyle w:val="Heading1"/>
        <w:rPr>
          <w:lang w:val="en-US"/>
        </w:rPr>
      </w:pPr>
      <w:r w:rsidRPr="00A929BB">
        <w:rPr>
          <w:lang w:val="en-US"/>
        </w:rPr>
        <w:t>Trends over time in male and female employment</w:t>
      </w:r>
    </w:p>
    <w:p w14:paraId="5FCD60DC" w14:textId="0A6C6EC9" w:rsidR="00A929BB" w:rsidRDefault="00780FB4" w:rsidP="00A929BB">
      <w:pPr>
        <w:rPr>
          <w:lang w:val="en-US"/>
        </w:rPr>
      </w:pPr>
      <w:r>
        <w:rPr>
          <w:lang w:val="en-US"/>
        </w:rPr>
        <w:t>The</w:t>
      </w:r>
      <w:r w:rsidR="001916CD">
        <w:rPr>
          <w:lang w:val="en-US"/>
        </w:rPr>
        <w:t xml:space="preserve"> sector</w:t>
      </w:r>
      <w:r>
        <w:rPr>
          <w:lang w:val="en-US"/>
        </w:rPr>
        <w:t xml:space="preserve"> currently employs </w:t>
      </w:r>
      <w:r w:rsidR="001916CD">
        <w:rPr>
          <w:lang w:val="en-US"/>
        </w:rPr>
        <w:t>approximately two times more</w:t>
      </w:r>
      <w:r>
        <w:rPr>
          <w:lang w:val="en-US"/>
        </w:rPr>
        <w:t xml:space="preserve"> females than males and the ratio of males has been declining over the last five years as evident in </w:t>
      </w:r>
      <w:r>
        <w:rPr>
          <w:lang w:val="en-US"/>
        </w:rPr>
        <w:fldChar w:fldCharType="begin"/>
      </w:r>
      <w:r>
        <w:rPr>
          <w:lang w:val="en-US"/>
        </w:rPr>
        <w:instrText xml:space="preserve"> REF _Ref80183827 \h </w:instrText>
      </w:r>
      <w:r>
        <w:rPr>
          <w:lang w:val="en-US"/>
        </w:rPr>
      </w:r>
      <w:r>
        <w:rPr>
          <w:lang w:val="en-US"/>
        </w:rPr>
        <w:fldChar w:fldCharType="separate"/>
      </w:r>
      <w:r>
        <w:t xml:space="preserve">Figure </w:t>
      </w:r>
      <w:r>
        <w:rPr>
          <w:noProof/>
        </w:rPr>
        <w:t>1</w:t>
      </w:r>
      <w:r>
        <w:rPr>
          <w:lang w:val="en-US"/>
        </w:rPr>
        <w:fldChar w:fldCharType="end"/>
      </w:r>
      <w:r>
        <w:rPr>
          <w:lang w:val="en-US"/>
        </w:rPr>
        <w:t>.</w:t>
      </w:r>
    </w:p>
    <w:p w14:paraId="1F02CEA5" w14:textId="77777777" w:rsidR="00780FB4" w:rsidRDefault="00780FB4" w:rsidP="00780FB4">
      <w:pPr>
        <w:keepNext/>
        <w:jc w:val="center"/>
      </w:pPr>
      <w:r>
        <w:rPr>
          <w:noProof/>
        </w:rPr>
        <w:drawing>
          <wp:inline distT="0" distB="0" distL="0" distR="0" wp14:anchorId="52285773" wp14:editId="74FBD7A9">
            <wp:extent cx="4910455" cy="2476500"/>
            <wp:effectExtent l="0" t="0" r="4445" b="0"/>
            <wp:docPr id="1" name="Chart 1">
              <a:extLst xmlns:a="http://schemas.openxmlformats.org/drawingml/2006/main">
                <a:ext uri="{FF2B5EF4-FFF2-40B4-BE49-F238E27FC236}">
                  <a16:creationId xmlns:a16="http://schemas.microsoft.com/office/drawing/2014/main" id="{45CDEF31-9A45-4F1D-B280-36E7B0C87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8E8F26B" w14:textId="776B48E4" w:rsidR="00780FB4" w:rsidRPr="00A929BB" w:rsidRDefault="00780FB4" w:rsidP="00780FB4">
      <w:pPr>
        <w:pStyle w:val="Caption"/>
        <w:jc w:val="center"/>
        <w:rPr>
          <w:lang w:val="en-US"/>
        </w:rPr>
      </w:pPr>
      <w:bookmarkStart w:id="0" w:name="_Ref80183827"/>
      <w:r>
        <w:t xml:space="preserve">Figure </w:t>
      </w:r>
      <w:r>
        <w:fldChar w:fldCharType="begin"/>
      </w:r>
      <w:r>
        <w:instrText xml:space="preserve"> SEQ Figure \* ARABIC </w:instrText>
      </w:r>
      <w:r>
        <w:fldChar w:fldCharType="separate"/>
      </w:r>
      <w:r w:rsidR="008F7B5E">
        <w:rPr>
          <w:noProof/>
        </w:rPr>
        <w:t>1</w:t>
      </w:r>
      <w:r>
        <w:fldChar w:fldCharType="end"/>
      </w:r>
      <w:r>
        <w:rPr>
          <w:lang w:val="en-US"/>
        </w:rPr>
        <w:t xml:space="preserve"> Male vs female ratio.</w:t>
      </w:r>
      <w:bookmarkEnd w:id="0"/>
    </w:p>
    <w:p w14:paraId="746F4DA8" w14:textId="373B3BAA" w:rsidR="00A929BB" w:rsidRDefault="001916CD" w:rsidP="00A929BB">
      <w:pPr>
        <w:rPr>
          <w:lang w:val="en-US"/>
        </w:rPr>
      </w:pPr>
      <w:r>
        <w:rPr>
          <w:lang w:val="en-US"/>
        </w:rPr>
        <w:t xml:space="preserve">Another observation is that after 2014 the number of both females and males dropped and this continued until 2017 when the number of females employed by the sector grew more than 2014, but the number of males has not recovered yet as can be seen in </w:t>
      </w:r>
      <w:r>
        <w:rPr>
          <w:lang w:val="en-US"/>
        </w:rPr>
        <w:fldChar w:fldCharType="begin"/>
      </w:r>
      <w:r>
        <w:rPr>
          <w:lang w:val="en-US"/>
        </w:rPr>
        <w:instrText xml:space="preserve"> REF _Ref80184404 \h </w:instrText>
      </w:r>
      <w:r>
        <w:rPr>
          <w:lang w:val="en-US"/>
        </w:rPr>
      </w:r>
      <w:r>
        <w:rPr>
          <w:lang w:val="en-US"/>
        </w:rPr>
        <w:fldChar w:fldCharType="separate"/>
      </w:r>
      <w:r>
        <w:t xml:space="preserve">Figure </w:t>
      </w:r>
      <w:r>
        <w:rPr>
          <w:noProof/>
        </w:rPr>
        <w:t>2</w:t>
      </w:r>
      <w:r>
        <w:rPr>
          <w:lang w:val="en-US"/>
        </w:rPr>
        <w:fldChar w:fldCharType="end"/>
      </w:r>
      <w:r>
        <w:rPr>
          <w:lang w:val="en-US"/>
        </w:rPr>
        <w:t>.</w:t>
      </w:r>
    </w:p>
    <w:p w14:paraId="62B69F97" w14:textId="77777777" w:rsidR="001916CD" w:rsidRDefault="001916CD" w:rsidP="001916CD">
      <w:pPr>
        <w:keepNext/>
        <w:jc w:val="center"/>
      </w:pPr>
      <w:r>
        <w:rPr>
          <w:noProof/>
        </w:rPr>
        <w:drawing>
          <wp:inline distT="0" distB="0" distL="0" distR="0" wp14:anchorId="410F754A" wp14:editId="35615AA8">
            <wp:extent cx="4892040" cy="2188029"/>
            <wp:effectExtent l="0" t="0" r="3810" b="3175"/>
            <wp:docPr id="2" name="Chart 2">
              <a:extLst xmlns:a="http://schemas.openxmlformats.org/drawingml/2006/main">
                <a:ext uri="{FF2B5EF4-FFF2-40B4-BE49-F238E27FC236}">
                  <a16:creationId xmlns:a16="http://schemas.microsoft.com/office/drawing/2014/main" id="{FE36C812-10A2-4264-B064-57B3EAE38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2697703" w14:textId="03BCBA25" w:rsidR="001916CD" w:rsidRPr="00A929BB" w:rsidRDefault="001916CD" w:rsidP="001916CD">
      <w:pPr>
        <w:pStyle w:val="Caption"/>
        <w:jc w:val="center"/>
        <w:rPr>
          <w:lang w:val="en-US"/>
        </w:rPr>
      </w:pPr>
      <w:bookmarkStart w:id="1" w:name="_Ref80184404"/>
      <w:r>
        <w:t xml:space="preserve">Figure </w:t>
      </w:r>
      <w:r>
        <w:fldChar w:fldCharType="begin"/>
      </w:r>
      <w:r>
        <w:instrText xml:space="preserve"> SEQ Figure \* ARABIC </w:instrText>
      </w:r>
      <w:r>
        <w:fldChar w:fldCharType="separate"/>
      </w:r>
      <w:r w:rsidR="008F7B5E">
        <w:rPr>
          <w:noProof/>
        </w:rPr>
        <w:t>2</w:t>
      </w:r>
      <w:r>
        <w:fldChar w:fldCharType="end"/>
      </w:r>
      <w:r>
        <w:rPr>
          <w:lang w:val="en-US"/>
        </w:rPr>
        <w:t xml:space="preserve"> Headcount difference to 2014 by gender</w:t>
      </w:r>
      <w:bookmarkEnd w:id="1"/>
      <w:r w:rsidR="00E16BD9">
        <w:rPr>
          <w:lang w:val="en-US"/>
        </w:rPr>
        <w:t>.</w:t>
      </w:r>
    </w:p>
    <w:p w14:paraId="3232769E" w14:textId="77777777" w:rsidR="00A929BB" w:rsidRPr="00A929BB" w:rsidRDefault="00A929BB" w:rsidP="00A929BB">
      <w:pPr>
        <w:pStyle w:val="ListParagraph"/>
        <w:rPr>
          <w:lang w:val="en-US"/>
        </w:rPr>
      </w:pPr>
    </w:p>
    <w:p w14:paraId="79FC86BC" w14:textId="78832B79" w:rsidR="00A929BB" w:rsidRDefault="00A929BB" w:rsidP="00463E12">
      <w:pPr>
        <w:pStyle w:val="Heading1"/>
        <w:rPr>
          <w:lang w:val="en-US"/>
        </w:rPr>
      </w:pPr>
      <w:r w:rsidRPr="00A929BB">
        <w:rPr>
          <w:lang w:val="en-US"/>
        </w:rPr>
        <w:t>The current representation of part time employees in the sector and in each Cluster</w:t>
      </w:r>
    </w:p>
    <w:p w14:paraId="480F07C6" w14:textId="09C77B41" w:rsidR="005F5F9C" w:rsidRDefault="00E16BD9" w:rsidP="00463E12">
      <w:pPr>
        <w:rPr>
          <w:lang w:val="en-US"/>
        </w:rPr>
      </w:pPr>
      <w:r>
        <w:rPr>
          <w:lang w:val="en-US"/>
        </w:rPr>
        <w:t xml:space="preserve">The sector employs </w:t>
      </w:r>
      <w:r w:rsidRPr="00E16BD9">
        <w:rPr>
          <w:lang w:val="en-US"/>
        </w:rPr>
        <w:t>112</w:t>
      </w:r>
      <w:r>
        <w:rPr>
          <w:lang w:val="en-US"/>
        </w:rPr>
        <w:t>,</w:t>
      </w:r>
      <w:r w:rsidRPr="00E16BD9">
        <w:rPr>
          <w:lang w:val="en-US"/>
        </w:rPr>
        <w:t>250</w:t>
      </w:r>
      <w:r>
        <w:rPr>
          <w:lang w:val="en-US"/>
        </w:rPr>
        <w:t xml:space="preserve"> part-time employees which</w:t>
      </w:r>
      <w:r w:rsidR="005F5F9C">
        <w:rPr>
          <w:lang w:val="en-US"/>
        </w:rPr>
        <w:t xml:space="preserve"> is </w:t>
      </w:r>
      <w:r w:rsidR="005F5F9C" w:rsidRPr="005F5F9C">
        <w:rPr>
          <w:lang w:val="en-US"/>
        </w:rPr>
        <w:t>29.58%</w:t>
      </w:r>
      <w:r>
        <w:rPr>
          <w:lang w:val="en-US"/>
        </w:rPr>
        <w:t xml:space="preserve"> of the headcount</w:t>
      </w:r>
      <w:r w:rsidR="005F5F9C">
        <w:rPr>
          <w:lang w:val="en-US"/>
        </w:rPr>
        <w:t>. The highest ratio of part-time to total headcount per cluster is in Education which is 44.20%</w:t>
      </w:r>
      <w:r>
        <w:rPr>
          <w:lang w:val="en-US"/>
        </w:rPr>
        <w:t xml:space="preserve"> while the lowest is in </w:t>
      </w:r>
      <w:r>
        <w:rPr>
          <w:lang w:val="en-US"/>
        </w:rPr>
        <w:lastRenderedPageBreak/>
        <w:t xml:space="preserve">the industry at 6.66% as evident in </w:t>
      </w:r>
      <w:r>
        <w:rPr>
          <w:lang w:val="en-US"/>
        </w:rPr>
        <w:fldChar w:fldCharType="begin"/>
      </w:r>
      <w:r>
        <w:rPr>
          <w:lang w:val="en-US"/>
        </w:rPr>
        <w:instrText xml:space="preserve"> REF _Ref80186391 \h </w:instrText>
      </w:r>
      <w:r>
        <w:rPr>
          <w:lang w:val="en-US"/>
        </w:rPr>
      </w:r>
      <w:r>
        <w:rPr>
          <w:lang w:val="en-US"/>
        </w:rPr>
        <w:fldChar w:fldCharType="separate"/>
      </w:r>
      <w:r>
        <w:t xml:space="preserve">Figure </w:t>
      </w:r>
      <w:r>
        <w:rPr>
          <w:noProof/>
        </w:rPr>
        <w:t>3</w:t>
      </w:r>
      <w:r>
        <w:rPr>
          <w:lang w:val="en-US"/>
        </w:rPr>
        <w:fldChar w:fldCharType="end"/>
      </w:r>
      <w:r>
        <w:rPr>
          <w:lang w:val="en-US"/>
        </w:rPr>
        <w:t>.</w:t>
      </w:r>
      <w:r w:rsidR="00F17AC7">
        <w:rPr>
          <w:lang w:val="en-US"/>
        </w:rPr>
        <w:t xml:space="preserve"> Health and Education combined employ ~85% of the whole part-time headcount as can be seen in </w:t>
      </w:r>
      <w:r w:rsidR="00F17AC7">
        <w:rPr>
          <w:lang w:val="en-US"/>
        </w:rPr>
        <w:fldChar w:fldCharType="begin"/>
      </w:r>
      <w:r w:rsidR="00F17AC7">
        <w:rPr>
          <w:lang w:val="en-US"/>
        </w:rPr>
        <w:instrText xml:space="preserve"> REF _Ref80187310 \h </w:instrText>
      </w:r>
      <w:r w:rsidR="00F17AC7">
        <w:rPr>
          <w:lang w:val="en-US"/>
        </w:rPr>
      </w:r>
      <w:r w:rsidR="00F17AC7">
        <w:rPr>
          <w:lang w:val="en-US"/>
        </w:rPr>
        <w:fldChar w:fldCharType="separate"/>
      </w:r>
      <w:r w:rsidR="00F17AC7">
        <w:t xml:space="preserve">Figure </w:t>
      </w:r>
      <w:r w:rsidR="00F17AC7">
        <w:rPr>
          <w:noProof/>
        </w:rPr>
        <w:t>4</w:t>
      </w:r>
      <w:r w:rsidR="00F17AC7">
        <w:rPr>
          <w:lang w:val="en-US"/>
        </w:rPr>
        <w:fldChar w:fldCharType="end"/>
      </w:r>
      <w:r w:rsidR="00F17AC7">
        <w:rPr>
          <w:lang w:val="en-US"/>
        </w:rPr>
        <w:t>.</w:t>
      </w:r>
    </w:p>
    <w:p w14:paraId="3463AF77" w14:textId="77777777" w:rsidR="00E16BD9" w:rsidRDefault="005F5F9C" w:rsidP="00E16BD9">
      <w:pPr>
        <w:keepNext/>
        <w:jc w:val="center"/>
      </w:pPr>
      <w:r>
        <w:rPr>
          <w:noProof/>
        </w:rPr>
        <w:drawing>
          <wp:inline distT="0" distB="0" distL="0" distR="0" wp14:anchorId="55808CF1" wp14:editId="786F1566">
            <wp:extent cx="5731510" cy="2982686"/>
            <wp:effectExtent l="0" t="0" r="2540" b="8255"/>
            <wp:docPr id="3" name="Chart 3">
              <a:extLst xmlns:a="http://schemas.openxmlformats.org/drawingml/2006/main">
                <a:ext uri="{FF2B5EF4-FFF2-40B4-BE49-F238E27FC236}">
                  <a16:creationId xmlns:a16="http://schemas.microsoft.com/office/drawing/2014/main" id="{A11694E9-6CA3-4ABF-92E4-395A5059A3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F4F2BAA" w14:textId="25E3AEF0" w:rsidR="00E16BD9" w:rsidRDefault="00E16BD9" w:rsidP="00E16BD9">
      <w:pPr>
        <w:pStyle w:val="Caption"/>
        <w:jc w:val="center"/>
      </w:pPr>
      <w:bookmarkStart w:id="2" w:name="_Ref80186391"/>
      <w:r>
        <w:t xml:space="preserve">Figure </w:t>
      </w:r>
      <w:r>
        <w:fldChar w:fldCharType="begin"/>
      </w:r>
      <w:r>
        <w:instrText xml:space="preserve"> SEQ Figure \* ARABIC </w:instrText>
      </w:r>
      <w:r>
        <w:fldChar w:fldCharType="separate"/>
      </w:r>
      <w:r w:rsidR="008F7B5E">
        <w:rPr>
          <w:noProof/>
        </w:rPr>
        <w:t>3</w:t>
      </w:r>
      <w:r>
        <w:fldChar w:fldCharType="end"/>
      </w:r>
      <w:bookmarkEnd w:id="2"/>
      <w:r>
        <w:rPr>
          <w:lang w:val="en-US"/>
        </w:rPr>
        <w:t xml:space="preserve"> Part-time representation per cluster.</w:t>
      </w:r>
    </w:p>
    <w:p w14:paraId="5B27B64B" w14:textId="3F04C0C2" w:rsidR="00463E12" w:rsidRDefault="005F5F9C" w:rsidP="00463E12">
      <w:pPr>
        <w:rPr>
          <w:lang w:val="en-US"/>
        </w:rPr>
      </w:pPr>
      <w:r w:rsidRPr="005F5F9C">
        <w:rPr>
          <w:lang w:val="en-US"/>
        </w:rPr>
        <w:tab/>
      </w:r>
      <w:r w:rsidRPr="005F5F9C">
        <w:rPr>
          <w:lang w:val="en-US"/>
        </w:rPr>
        <w:tab/>
      </w:r>
    </w:p>
    <w:p w14:paraId="0764D67E" w14:textId="77777777" w:rsidR="00F17AC7" w:rsidRDefault="00F17AC7" w:rsidP="00F17AC7">
      <w:pPr>
        <w:keepNext/>
        <w:jc w:val="center"/>
      </w:pPr>
      <w:r>
        <w:rPr>
          <w:noProof/>
        </w:rPr>
        <w:drawing>
          <wp:inline distT="0" distB="0" distL="0" distR="0" wp14:anchorId="1B931A56" wp14:editId="0C1EBEA9">
            <wp:extent cx="5138420" cy="2993572"/>
            <wp:effectExtent l="0" t="0" r="5080" b="16510"/>
            <wp:docPr id="4" name="Chart 4">
              <a:extLst xmlns:a="http://schemas.openxmlformats.org/drawingml/2006/main">
                <a:ext uri="{FF2B5EF4-FFF2-40B4-BE49-F238E27FC236}">
                  <a16:creationId xmlns:a16="http://schemas.microsoft.com/office/drawing/2014/main" id="{7862D42E-0B36-4B58-8F03-8C71D7B92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66140A9" w14:textId="239FB30D" w:rsidR="00463E12" w:rsidRDefault="00F17AC7" w:rsidP="00F17AC7">
      <w:pPr>
        <w:pStyle w:val="Caption"/>
        <w:jc w:val="center"/>
        <w:rPr>
          <w:lang w:val="en-US"/>
        </w:rPr>
      </w:pPr>
      <w:bookmarkStart w:id="3" w:name="_Ref80187310"/>
      <w:r>
        <w:t xml:space="preserve">Figure </w:t>
      </w:r>
      <w:r>
        <w:fldChar w:fldCharType="begin"/>
      </w:r>
      <w:r>
        <w:instrText xml:space="preserve"> SEQ Figure \* ARABIC </w:instrText>
      </w:r>
      <w:r>
        <w:fldChar w:fldCharType="separate"/>
      </w:r>
      <w:r w:rsidR="008F7B5E">
        <w:rPr>
          <w:noProof/>
        </w:rPr>
        <w:t>4</w:t>
      </w:r>
      <w:r>
        <w:fldChar w:fldCharType="end"/>
      </w:r>
      <w:bookmarkEnd w:id="3"/>
      <w:r>
        <w:rPr>
          <w:lang w:val="en-US"/>
        </w:rPr>
        <w:t xml:space="preserve"> Part-time distribution on clusters</w:t>
      </w:r>
    </w:p>
    <w:p w14:paraId="619F2412" w14:textId="77777777" w:rsidR="00463E12" w:rsidRPr="00463E12" w:rsidRDefault="00463E12" w:rsidP="00463E12">
      <w:pPr>
        <w:rPr>
          <w:lang w:val="en-US"/>
        </w:rPr>
      </w:pPr>
    </w:p>
    <w:p w14:paraId="67C9D0E8" w14:textId="4E187D45" w:rsidR="00A929BB" w:rsidRDefault="00A929BB" w:rsidP="00F17AC7">
      <w:pPr>
        <w:pStyle w:val="Heading1"/>
        <w:rPr>
          <w:lang w:val="en-US"/>
        </w:rPr>
      </w:pPr>
      <w:r w:rsidRPr="00A929BB">
        <w:rPr>
          <w:lang w:val="en-US"/>
        </w:rPr>
        <w:lastRenderedPageBreak/>
        <w:t>The current representation of male and female part time employees as a proportion of the respective male and the female workforce in the sector and in each cluster</w:t>
      </w:r>
    </w:p>
    <w:p w14:paraId="7B90CB5E" w14:textId="7E528032" w:rsidR="008737B1" w:rsidRPr="008737B1" w:rsidRDefault="008737B1" w:rsidP="008737B1">
      <w:pPr>
        <w:rPr>
          <w:lang w:val="en-US"/>
        </w:rPr>
      </w:pPr>
      <w:r>
        <w:rPr>
          <w:lang w:val="en-US"/>
        </w:rPr>
        <w:t xml:space="preserve">36.67% of the females and </w:t>
      </w:r>
      <w:r w:rsidRPr="008737B1">
        <w:rPr>
          <w:lang w:val="en-US"/>
        </w:rPr>
        <w:t>16.52%</w:t>
      </w:r>
      <w:r>
        <w:rPr>
          <w:lang w:val="en-US"/>
        </w:rPr>
        <w:t xml:space="preserve"> of the males employed by the sector are on part-time basis. Education is largest employer of part-time for both males and females followed by Health for females and </w:t>
      </w:r>
      <w:r w:rsidR="00A22E90">
        <w:rPr>
          <w:lang w:val="en-US"/>
        </w:rPr>
        <w:t xml:space="preserve">Family and Community Services for males. The least employer of part-time employees is Treasury for both, males, and females as evident in </w:t>
      </w:r>
      <w:r w:rsidR="00A22E90">
        <w:rPr>
          <w:lang w:val="en-US"/>
        </w:rPr>
        <w:fldChar w:fldCharType="begin"/>
      </w:r>
      <w:r w:rsidR="00A22E90">
        <w:rPr>
          <w:lang w:val="en-US"/>
        </w:rPr>
        <w:instrText xml:space="preserve"> REF _Ref80188426 \h </w:instrText>
      </w:r>
      <w:r w:rsidR="00A22E90">
        <w:rPr>
          <w:lang w:val="en-US"/>
        </w:rPr>
      </w:r>
      <w:r w:rsidR="00A22E90">
        <w:rPr>
          <w:lang w:val="en-US"/>
        </w:rPr>
        <w:fldChar w:fldCharType="separate"/>
      </w:r>
      <w:r w:rsidR="00A22E90">
        <w:t xml:space="preserve">Figure </w:t>
      </w:r>
      <w:r w:rsidR="00A22E90">
        <w:rPr>
          <w:noProof/>
        </w:rPr>
        <w:t>5</w:t>
      </w:r>
      <w:r w:rsidR="00A22E90">
        <w:rPr>
          <w:lang w:val="en-US"/>
        </w:rPr>
        <w:fldChar w:fldCharType="end"/>
      </w:r>
      <w:r w:rsidR="00A22E90">
        <w:rPr>
          <w:lang w:val="en-US"/>
        </w:rPr>
        <w:t>.</w:t>
      </w:r>
    </w:p>
    <w:p w14:paraId="52FCEEFE" w14:textId="77777777" w:rsidR="00A22E90" w:rsidRDefault="00A22E90" w:rsidP="00A22E90">
      <w:pPr>
        <w:keepNext/>
        <w:jc w:val="center"/>
      </w:pPr>
      <w:r>
        <w:rPr>
          <w:noProof/>
        </w:rPr>
        <w:drawing>
          <wp:inline distT="0" distB="0" distL="0" distR="0" wp14:anchorId="64FBCE52" wp14:editId="5044ADD2">
            <wp:extent cx="5731510" cy="3842657"/>
            <wp:effectExtent l="0" t="0" r="2540" b="5715"/>
            <wp:docPr id="7" name="Chart 7">
              <a:extLst xmlns:a="http://schemas.openxmlformats.org/drawingml/2006/main">
                <a:ext uri="{FF2B5EF4-FFF2-40B4-BE49-F238E27FC236}">
                  <a16:creationId xmlns:a16="http://schemas.microsoft.com/office/drawing/2014/main" id="{0F38559D-2DAD-426A-B527-B58CD91FD9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89B216E" w14:textId="1A2C0784" w:rsidR="00F17AC7" w:rsidRPr="00F17AC7" w:rsidRDefault="00A22E90" w:rsidP="00A22E90">
      <w:pPr>
        <w:pStyle w:val="Caption"/>
        <w:jc w:val="center"/>
        <w:rPr>
          <w:lang w:val="en-US"/>
        </w:rPr>
      </w:pPr>
      <w:bookmarkStart w:id="4" w:name="_Ref80188426"/>
      <w:r>
        <w:t xml:space="preserve">Figure </w:t>
      </w:r>
      <w:r>
        <w:fldChar w:fldCharType="begin"/>
      </w:r>
      <w:r>
        <w:instrText xml:space="preserve"> SEQ Figure \* ARABIC </w:instrText>
      </w:r>
      <w:r>
        <w:fldChar w:fldCharType="separate"/>
      </w:r>
      <w:r w:rsidR="008F7B5E">
        <w:rPr>
          <w:noProof/>
        </w:rPr>
        <w:t>5</w:t>
      </w:r>
      <w:r>
        <w:fldChar w:fldCharType="end"/>
      </w:r>
      <w:bookmarkEnd w:id="4"/>
      <w:r>
        <w:rPr>
          <w:lang w:val="en-US"/>
        </w:rPr>
        <w:t xml:space="preserve"> Part-time to total headcount ratio by gender</w:t>
      </w:r>
    </w:p>
    <w:p w14:paraId="446042CD" w14:textId="751033F2" w:rsidR="00A929BB" w:rsidRDefault="00A929BB" w:rsidP="00A22E90">
      <w:pPr>
        <w:pStyle w:val="Heading1"/>
        <w:rPr>
          <w:lang w:val="en-US"/>
        </w:rPr>
      </w:pPr>
      <w:r w:rsidRPr="00A929BB">
        <w:rPr>
          <w:lang w:val="en-US"/>
        </w:rPr>
        <w:t xml:space="preserve">Change </w:t>
      </w:r>
      <w:r w:rsidR="00C047C6">
        <w:rPr>
          <w:lang w:val="en-US"/>
        </w:rPr>
        <w:t>in part-time statistics</w:t>
      </w:r>
      <w:r w:rsidRPr="00A929BB">
        <w:rPr>
          <w:lang w:val="en-US"/>
        </w:rPr>
        <w:t xml:space="preserve"> over the last 4 years</w:t>
      </w:r>
    </w:p>
    <w:p w14:paraId="09A5D443" w14:textId="28055031" w:rsidR="00321627" w:rsidRPr="00321627" w:rsidRDefault="00321627" w:rsidP="00321627">
      <w:pPr>
        <w:rPr>
          <w:lang w:val="en-US"/>
        </w:rPr>
      </w:pPr>
      <w:r>
        <w:rPr>
          <w:lang w:val="en-US"/>
        </w:rPr>
        <w:t xml:space="preserve">A summary of the trends in the number of male and female employees on part-time basis is in  </w:t>
      </w:r>
      <w:r w:rsidR="00A11A1D">
        <w:rPr>
          <w:lang w:val="en-US"/>
        </w:rPr>
        <w:fldChar w:fldCharType="begin"/>
      </w:r>
      <w:r w:rsidR="00A11A1D">
        <w:rPr>
          <w:lang w:val="en-US"/>
        </w:rPr>
        <w:instrText xml:space="preserve"> REF _Ref80190012 \h </w:instrText>
      </w:r>
      <w:r w:rsidR="00A11A1D">
        <w:rPr>
          <w:lang w:val="en-US"/>
        </w:rPr>
      </w:r>
      <w:r w:rsidR="00A11A1D">
        <w:rPr>
          <w:lang w:val="en-US"/>
        </w:rPr>
        <w:fldChar w:fldCharType="separate"/>
      </w:r>
      <w:r w:rsidR="00A11A1D">
        <w:t xml:space="preserve">Table </w:t>
      </w:r>
      <w:r w:rsidR="00A11A1D">
        <w:rPr>
          <w:noProof/>
        </w:rPr>
        <w:t>1</w:t>
      </w:r>
      <w:r w:rsidR="00A11A1D">
        <w:rPr>
          <w:lang w:val="en-US"/>
        </w:rPr>
        <w:fldChar w:fldCharType="end"/>
      </w:r>
      <w:r w:rsidR="00A11A1D">
        <w:rPr>
          <w:lang w:val="en-US"/>
        </w:rPr>
        <w:t>.</w:t>
      </w:r>
    </w:p>
    <w:tbl>
      <w:tblPr>
        <w:tblStyle w:val="GridTable3-Accent2"/>
        <w:tblW w:w="0" w:type="auto"/>
        <w:tblLook w:val="04A0" w:firstRow="1" w:lastRow="0" w:firstColumn="1" w:lastColumn="0" w:noHBand="0" w:noVBand="1"/>
      </w:tblPr>
      <w:tblGrid>
        <w:gridCol w:w="2920"/>
        <w:gridCol w:w="682"/>
        <w:gridCol w:w="681"/>
        <w:gridCol w:w="1197"/>
        <w:gridCol w:w="761"/>
        <w:gridCol w:w="761"/>
        <w:gridCol w:w="1338"/>
      </w:tblGrid>
      <w:tr w:rsidR="00221D7B" w:rsidRPr="00221D7B" w14:paraId="5CFFB3C3" w14:textId="77777777" w:rsidTr="00A41109">
        <w:trPr>
          <w:cnfStyle w:val="100000000000" w:firstRow="1" w:lastRow="0" w:firstColumn="0" w:lastColumn="0" w:oddVBand="0" w:evenVBand="0" w:oddHBand="0" w:evenHBand="0" w:firstRowFirstColumn="0" w:firstRowLastColumn="0" w:lastRowFirstColumn="0" w:lastRowLastColumn="0"/>
          <w:trHeight w:val="179"/>
        </w:trPr>
        <w:tc>
          <w:tcPr>
            <w:cnfStyle w:val="001000000100" w:firstRow="0" w:lastRow="0" w:firstColumn="1" w:lastColumn="0" w:oddVBand="0" w:evenVBand="0" w:oddHBand="0" w:evenHBand="0" w:firstRowFirstColumn="1" w:firstRowLastColumn="0" w:lastRowFirstColumn="0" w:lastRowLastColumn="0"/>
            <w:tcW w:w="2920" w:type="dxa"/>
            <w:noWrap/>
            <w:hideMark/>
          </w:tcPr>
          <w:p w14:paraId="4501A01E" w14:textId="77777777" w:rsidR="00221D7B" w:rsidRPr="00221D7B" w:rsidRDefault="00221D7B" w:rsidP="00221D7B">
            <w:pPr>
              <w:pStyle w:val="Caption"/>
              <w:jc w:val="center"/>
              <w:rPr>
                <w:i/>
                <w:iCs/>
                <w:lang w:val="en-US"/>
              </w:rPr>
            </w:pPr>
            <w:bookmarkStart w:id="5" w:name="_Ref80190012"/>
          </w:p>
        </w:tc>
        <w:tc>
          <w:tcPr>
            <w:tcW w:w="2560" w:type="dxa"/>
            <w:gridSpan w:val="3"/>
            <w:noWrap/>
            <w:hideMark/>
          </w:tcPr>
          <w:p w14:paraId="6A686CBF" w14:textId="77777777" w:rsidR="00221D7B" w:rsidRPr="00221D7B" w:rsidRDefault="00221D7B" w:rsidP="00221D7B">
            <w:pPr>
              <w:pStyle w:val="Caption"/>
              <w:jc w:val="center"/>
              <w:cnfStyle w:val="100000000000" w:firstRow="1" w:lastRow="0" w:firstColumn="0" w:lastColumn="0" w:oddVBand="0" w:evenVBand="0" w:oddHBand="0" w:evenHBand="0" w:firstRowFirstColumn="0" w:firstRowLastColumn="0" w:lastRowFirstColumn="0" w:lastRowLastColumn="0"/>
            </w:pPr>
            <w:r w:rsidRPr="00221D7B">
              <w:t>Female</w:t>
            </w:r>
          </w:p>
        </w:tc>
        <w:tc>
          <w:tcPr>
            <w:tcW w:w="2860" w:type="dxa"/>
            <w:gridSpan w:val="3"/>
            <w:noWrap/>
            <w:hideMark/>
          </w:tcPr>
          <w:p w14:paraId="4320D106" w14:textId="77777777" w:rsidR="00221D7B" w:rsidRPr="00221D7B" w:rsidRDefault="00221D7B" w:rsidP="00221D7B">
            <w:pPr>
              <w:pStyle w:val="Caption"/>
              <w:jc w:val="center"/>
              <w:cnfStyle w:val="100000000000" w:firstRow="1" w:lastRow="0" w:firstColumn="0" w:lastColumn="0" w:oddVBand="0" w:evenVBand="0" w:oddHBand="0" w:evenHBand="0" w:firstRowFirstColumn="0" w:firstRowLastColumn="0" w:lastRowFirstColumn="0" w:lastRowLastColumn="0"/>
            </w:pPr>
            <w:r w:rsidRPr="00221D7B">
              <w:t>Male</w:t>
            </w:r>
          </w:p>
        </w:tc>
      </w:tr>
      <w:tr w:rsidR="00A41109" w:rsidRPr="00221D7B" w14:paraId="7738965F" w14:textId="77777777" w:rsidTr="00A4110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58A01ED9" w14:textId="77777777" w:rsidR="00221D7B" w:rsidRPr="00221D7B" w:rsidRDefault="00221D7B" w:rsidP="00221D7B">
            <w:pPr>
              <w:pStyle w:val="Caption"/>
              <w:jc w:val="center"/>
              <w:rPr>
                <w:b/>
                <w:bCs/>
                <w:i/>
                <w:iCs/>
              </w:rPr>
            </w:pPr>
            <w:r w:rsidRPr="00221D7B">
              <w:rPr>
                <w:b/>
                <w:bCs/>
                <w:i/>
                <w:iCs/>
              </w:rPr>
              <w:t>Cluster</w:t>
            </w:r>
          </w:p>
        </w:tc>
        <w:tc>
          <w:tcPr>
            <w:tcW w:w="682" w:type="dxa"/>
            <w:noWrap/>
            <w:hideMark/>
          </w:tcPr>
          <w:p w14:paraId="11CC50F6"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rPr>
                <w:b/>
                <w:bCs/>
              </w:rPr>
            </w:pPr>
            <w:r w:rsidRPr="00221D7B">
              <w:rPr>
                <w:b/>
                <w:bCs/>
              </w:rPr>
              <w:t>2014</w:t>
            </w:r>
          </w:p>
        </w:tc>
        <w:tc>
          <w:tcPr>
            <w:tcW w:w="681" w:type="dxa"/>
            <w:noWrap/>
            <w:hideMark/>
          </w:tcPr>
          <w:p w14:paraId="664AB6F2"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rPr>
                <w:b/>
                <w:bCs/>
              </w:rPr>
            </w:pPr>
            <w:r w:rsidRPr="00221D7B">
              <w:rPr>
                <w:b/>
                <w:bCs/>
              </w:rPr>
              <w:t>2018</w:t>
            </w:r>
          </w:p>
        </w:tc>
        <w:tc>
          <w:tcPr>
            <w:tcW w:w="1197" w:type="dxa"/>
            <w:noWrap/>
            <w:hideMark/>
          </w:tcPr>
          <w:p w14:paraId="5B5949FD"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rPr>
                <w:b/>
                <w:bCs/>
              </w:rPr>
            </w:pPr>
            <w:r w:rsidRPr="00221D7B">
              <w:rPr>
                <w:b/>
                <w:bCs/>
              </w:rPr>
              <w:t>Trend</w:t>
            </w:r>
          </w:p>
        </w:tc>
        <w:tc>
          <w:tcPr>
            <w:tcW w:w="761" w:type="dxa"/>
            <w:noWrap/>
            <w:hideMark/>
          </w:tcPr>
          <w:p w14:paraId="0B785437"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rPr>
                <w:b/>
                <w:bCs/>
              </w:rPr>
            </w:pPr>
            <w:r w:rsidRPr="00221D7B">
              <w:rPr>
                <w:b/>
                <w:bCs/>
              </w:rPr>
              <w:t>2014</w:t>
            </w:r>
          </w:p>
        </w:tc>
        <w:tc>
          <w:tcPr>
            <w:tcW w:w="761" w:type="dxa"/>
            <w:noWrap/>
            <w:hideMark/>
          </w:tcPr>
          <w:p w14:paraId="22438BA3"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rPr>
                <w:b/>
                <w:bCs/>
              </w:rPr>
            </w:pPr>
            <w:r w:rsidRPr="00221D7B">
              <w:rPr>
                <w:b/>
                <w:bCs/>
              </w:rPr>
              <w:t>2018</w:t>
            </w:r>
          </w:p>
        </w:tc>
        <w:tc>
          <w:tcPr>
            <w:tcW w:w="1338" w:type="dxa"/>
            <w:noWrap/>
            <w:hideMark/>
          </w:tcPr>
          <w:p w14:paraId="1450B4E6"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rPr>
                <w:b/>
                <w:bCs/>
              </w:rPr>
            </w:pPr>
            <w:r w:rsidRPr="00221D7B">
              <w:rPr>
                <w:b/>
                <w:bCs/>
              </w:rPr>
              <w:t>Trend</w:t>
            </w:r>
          </w:p>
        </w:tc>
      </w:tr>
      <w:tr w:rsidR="00221D7B" w:rsidRPr="00221D7B" w14:paraId="26A370A5" w14:textId="77777777" w:rsidTr="00A41109">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50EDAAE7" w14:textId="77777777" w:rsidR="00221D7B" w:rsidRPr="00221D7B" w:rsidRDefault="00221D7B" w:rsidP="00221D7B">
            <w:pPr>
              <w:pStyle w:val="Caption"/>
              <w:jc w:val="center"/>
              <w:rPr>
                <w:i/>
                <w:iCs/>
              </w:rPr>
            </w:pPr>
            <w:r w:rsidRPr="00221D7B">
              <w:rPr>
                <w:i/>
                <w:iCs/>
              </w:rPr>
              <w:t>Education</w:t>
            </w:r>
          </w:p>
        </w:tc>
        <w:tc>
          <w:tcPr>
            <w:tcW w:w="682" w:type="dxa"/>
            <w:noWrap/>
            <w:hideMark/>
          </w:tcPr>
          <w:p w14:paraId="48C24B71"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45.9%</w:t>
            </w:r>
          </w:p>
        </w:tc>
        <w:tc>
          <w:tcPr>
            <w:tcW w:w="681" w:type="dxa"/>
            <w:noWrap/>
            <w:hideMark/>
          </w:tcPr>
          <w:p w14:paraId="60D4FAA0"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46.8%</w:t>
            </w:r>
          </w:p>
        </w:tc>
        <w:tc>
          <w:tcPr>
            <w:tcW w:w="1197" w:type="dxa"/>
            <w:noWrap/>
            <w:hideMark/>
          </w:tcPr>
          <w:p w14:paraId="659FBE64"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Increasing</w:t>
            </w:r>
          </w:p>
        </w:tc>
        <w:tc>
          <w:tcPr>
            <w:tcW w:w="761" w:type="dxa"/>
            <w:noWrap/>
            <w:hideMark/>
          </w:tcPr>
          <w:p w14:paraId="3C57DC3E"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20.1%</w:t>
            </w:r>
          </w:p>
        </w:tc>
        <w:tc>
          <w:tcPr>
            <w:tcW w:w="761" w:type="dxa"/>
            <w:noWrap/>
            <w:hideMark/>
          </w:tcPr>
          <w:p w14:paraId="11A90F2B"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35.3%</w:t>
            </w:r>
          </w:p>
        </w:tc>
        <w:tc>
          <w:tcPr>
            <w:tcW w:w="1338" w:type="dxa"/>
            <w:noWrap/>
            <w:hideMark/>
          </w:tcPr>
          <w:p w14:paraId="1DB79387"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Increasing</w:t>
            </w:r>
          </w:p>
        </w:tc>
      </w:tr>
      <w:tr w:rsidR="00221D7B" w:rsidRPr="00221D7B" w14:paraId="5485B7E2" w14:textId="77777777" w:rsidTr="00A4110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725322C" w14:textId="77777777" w:rsidR="00221D7B" w:rsidRPr="00221D7B" w:rsidRDefault="00221D7B" w:rsidP="00221D7B">
            <w:pPr>
              <w:pStyle w:val="Caption"/>
              <w:jc w:val="center"/>
              <w:rPr>
                <w:i/>
                <w:iCs/>
              </w:rPr>
            </w:pPr>
            <w:r w:rsidRPr="00221D7B">
              <w:rPr>
                <w:i/>
                <w:iCs/>
              </w:rPr>
              <w:t>Family &amp; Community Services</w:t>
            </w:r>
          </w:p>
        </w:tc>
        <w:tc>
          <w:tcPr>
            <w:tcW w:w="682" w:type="dxa"/>
            <w:noWrap/>
            <w:hideMark/>
          </w:tcPr>
          <w:p w14:paraId="19029FB9"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36.9%</w:t>
            </w:r>
          </w:p>
        </w:tc>
        <w:tc>
          <w:tcPr>
            <w:tcW w:w="681" w:type="dxa"/>
            <w:noWrap/>
            <w:hideMark/>
          </w:tcPr>
          <w:p w14:paraId="14B6389A"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16.9%</w:t>
            </w:r>
          </w:p>
        </w:tc>
        <w:tc>
          <w:tcPr>
            <w:tcW w:w="1197" w:type="dxa"/>
            <w:noWrap/>
            <w:hideMark/>
          </w:tcPr>
          <w:p w14:paraId="2DA62EDC"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Decreasing</w:t>
            </w:r>
          </w:p>
        </w:tc>
        <w:tc>
          <w:tcPr>
            <w:tcW w:w="761" w:type="dxa"/>
            <w:noWrap/>
            <w:hideMark/>
          </w:tcPr>
          <w:p w14:paraId="5B606944"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21.4%</w:t>
            </w:r>
          </w:p>
        </w:tc>
        <w:tc>
          <w:tcPr>
            <w:tcW w:w="761" w:type="dxa"/>
            <w:noWrap/>
            <w:hideMark/>
          </w:tcPr>
          <w:p w14:paraId="1CB32A26"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4.7%</w:t>
            </w:r>
          </w:p>
        </w:tc>
        <w:tc>
          <w:tcPr>
            <w:tcW w:w="1338" w:type="dxa"/>
            <w:noWrap/>
            <w:hideMark/>
          </w:tcPr>
          <w:p w14:paraId="2064C27B"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Decreasing</w:t>
            </w:r>
          </w:p>
        </w:tc>
      </w:tr>
      <w:tr w:rsidR="00221D7B" w:rsidRPr="00221D7B" w14:paraId="495C9347" w14:textId="77777777" w:rsidTr="00A41109">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8EC32B8" w14:textId="77777777" w:rsidR="00221D7B" w:rsidRPr="00221D7B" w:rsidRDefault="00221D7B" w:rsidP="00221D7B">
            <w:pPr>
              <w:pStyle w:val="Caption"/>
              <w:jc w:val="center"/>
              <w:rPr>
                <w:i/>
                <w:iCs/>
              </w:rPr>
            </w:pPr>
            <w:r w:rsidRPr="00221D7B">
              <w:rPr>
                <w:i/>
                <w:iCs/>
              </w:rPr>
              <w:t>Finance, Services &amp; Innovation</w:t>
            </w:r>
          </w:p>
        </w:tc>
        <w:tc>
          <w:tcPr>
            <w:tcW w:w="682" w:type="dxa"/>
            <w:noWrap/>
            <w:hideMark/>
          </w:tcPr>
          <w:p w14:paraId="0862799D"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15.4%</w:t>
            </w:r>
          </w:p>
        </w:tc>
        <w:tc>
          <w:tcPr>
            <w:tcW w:w="681" w:type="dxa"/>
            <w:noWrap/>
            <w:hideMark/>
          </w:tcPr>
          <w:p w14:paraId="44E03B6D"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27.0%</w:t>
            </w:r>
          </w:p>
        </w:tc>
        <w:tc>
          <w:tcPr>
            <w:tcW w:w="1197" w:type="dxa"/>
            <w:noWrap/>
            <w:hideMark/>
          </w:tcPr>
          <w:p w14:paraId="695491B2"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Increasing</w:t>
            </w:r>
          </w:p>
        </w:tc>
        <w:tc>
          <w:tcPr>
            <w:tcW w:w="761" w:type="dxa"/>
            <w:noWrap/>
            <w:hideMark/>
          </w:tcPr>
          <w:p w14:paraId="6C665658"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2.9%</w:t>
            </w:r>
          </w:p>
        </w:tc>
        <w:tc>
          <w:tcPr>
            <w:tcW w:w="761" w:type="dxa"/>
            <w:noWrap/>
            <w:hideMark/>
          </w:tcPr>
          <w:p w14:paraId="2D0B5166"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20.0%</w:t>
            </w:r>
          </w:p>
        </w:tc>
        <w:tc>
          <w:tcPr>
            <w:tcW w:w="1338" w:type="dxa"/>
            <w:noWrap/>
            <w:hideMark/>
          </w:tcPr>
          <w:p w14:paraId="263E9165"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Increasing</w:t>
            </w:r>
          </w:p>
        </w:tc>
      </w:tr>
      <w:tr w:rsidR="00221D7B" w:rsidRPr="00221D7B" w14:paraId="6B762967" w14:textId="77777777" w:rsidTr="00A4110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7F8ADE7C" w14:textId="77777777" w:rsidR="00221D7B" w:rsidRPr="00221D7B" w:rsidRDefault="00221D7B" w:rsidP="00221D7B">
            <w:pPr>
              <w:pStyle w:val="Caption"/>
              <w:jc w:val="center"/>
              <w:rPr>
                <w:i/>
                <w:iCs/>
              </w:rPr>
            </w:pPr>
            <w:r w:rsidRPr="00221D7B">
              <w:rPr>
                <w:i/>
                <w:iCs/>
              </w:rPr>
              <w:t>Health</w:t>
            </w:r>
          </w:p>
        </w:tc>
        <w:tc>
          <w:tcPr>
            <w:tcW w:w="682" w:type="dxa"/>
            <w:noWrap/>
            <w:hideMark/>
          </w:tcPr>
          <w:p w14:paraId="0D863722"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36.2%</w:t>
            </w:r>
          </w:p>
        </w:tc>
        <w:tc>
          <w:tcPr>
            <w:tcW w:w="681" w:type="dxa"/>
            <w:noWrap/>
            <w:hideMark/>
          </w:tcPr>
          <w:p w14:paraId="70FDBF08"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37.7%</w:t>
            </w:r>
          </w:p>
        </w:tc>
        <w:tc>
          <w:tcPr>
            <w:tcW w:w="1197" w:type="dxa"/>
            <w:noWrap/>
            <w:hideMark/>
          </w:tcPr>
          <w:p w14:paraId="51969223"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Increasing</w:t>
            </w:r>
          </w:p>
        </w:tc>
        <w:tc>
          <w:tcPr>
            <w:tcW w:w="761" w:type="dxa"/>
            <w:noWrap/>
            <w:hideMark/>
          </w:tcPr>
          <w:p w14:paraId="187128DA"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15.2%</w:t>
            </w:r>
          </w:p>
        </w:tc>
        <w:tc>
          <w:tcPr>
            <w:tcW w:w="761" w:type="dxa"/>
            <w:noWrap/>
            <w:hideMark/>
          </w:tcPr>
          <w:p w14:paraId="4838E865"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19.9%</w:t>
            </w:r>
          </w:p>
        </w:tc>
        <w:tc>
          <w:tcPr>
            <w:tcW w:w="1338" w:type="dxa"/>
            <w:noWrap/>
            <w:hideMark/>
          </w:tcPr>
          <w:p w14:paraId="4A38432E"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Increasing</w:t>
            </w:r>
          </w:p>
        </w:tc>
      </w:tr>
      <w:tr w:rsidR="00221D7B" w:rsidRPr="00221D7B" w14:paraId="6D0D3AE1" w14:textId="77777777" w:rsidTr="00A41109">
        <w:trPr>
          <w:trHeight w:val="301"/>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F1F51A0" w14:textId="77777777" w:rsidR="00221D7B" w:rsidRPr="00221D7B" w:rsidRDefault="00221D7B" w:rsidP="00221D7B">
            <w:pPr>
              <w:pStyle w:val="Caption"/>
              <w:jc w:val="center"/>
              <w:rPr>
                <w:i/>
                <w:iCs/>
              </w:rPr>
            </w:pPr>
            <w:r w:rsidRPr="00221D7B">
              <w:rPr>
                <w:i/>
                <w:iCs/>
              </w:rPr>
              <w:t>Industry</w:t>
            </w:r>
          </w:p>
        </w:tc>
        <w:tc>
          <w:tcPr>
            <w:tcW w:w="682" w:type="dxa"/>
            <w:noWrap/>
            <w:hideMark/>
          </w:tcPr>
          <w:p w14:paraId="5F8B2EAE"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18.0%</w:t>
            </w:r>
          </w:p>
        </w:tc>
        <w:tc>
          <w:tcPr>
            <w:tcW w:w="681" w:type="dxa"/>
            <w:noWrap/>
            <w:hideMark/>
          </w:tcPr>
          <w:p w14:paraId="798AB4F4"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10.9%</w:t>
            </w:r>
          </w:p>
        </w:tc>
        <w:tc>
          <w:tcPr>
            <w:tcW w:w="1197" w:type="dxa"/>
            <w:noWrap/>
            <w:hideMark/>
          </w:tcPr>
          <w:p w14:paraId="594CFC7C"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Decreasing</w:t>
            </w:r>
          </w:p>
        </w:tc>
        <w:tc>
          <w:tcPr>
            <w:tcW w:w="761" w:type="dxa"/>
            <w:noWrap/>
            <w:hideMark/>
          </w:tcPr>
          <w:p w14:paraId="797F0705"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5.1%</w:t>
            </w:r>
          </w:p>
        </w:tc>
        <w:tc>
          <w:tcPr>
            <w:tcW w:w="761" w:type="dxa"/>
            <w:noWrap/>
            <w:hideMark/>
          </w:tcPr>
          <w:p w14:paraId="193D5330"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2.0%</w:t>
            </w:r>
          </w:p>
        </w:tc>
        <w:tc>
          <w:tcPr>
            <w:tcW w:w="1338" w:type="dxa"/>
            <w:noWrap/>
            <w:hideMark/>
          </w:tcPr>
          <w:p w14:paraId="60AD2264"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Decreasing</w:t>
            </w:r>
          </w:p>
        </w:tc>
      </w:tr>
      <w:tr w:rsidR="00221D7B" w:rsidRPr="00221D7B" w14:paraId="2EE674B6" w14:textId="77777777" w:rsidTr="00A4110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F98C0CD" w14:textId="77777777" w:rsidR="00221D7B" w:rsidRPr="00221D7B" w:rsidRDefault="00221D7B" w:rsidP="00221D7B">
            <w:pPr>
              <w:pStyle w:val="Caption"/>
              <w:jc w:val="center"/>
              <w:rPr>
                <w:i/>
                <w:iCs/>
              </w:rPr>
            </w:pPr>
            <w:r w:rsidRPr="00221D7B">
              <w:rPr>
                <w:i/>
                <w:iCs/>
              </w:rPr>
              <w:t>Justice</w:t>
            </w:r>
          </w:p>
        </w:tc>
        <w:tc>
          <w:tcPr>
            <w:tcW w:w="682" w:type="dxa"/>
            <w:noWrap/>
            <w:hideMark/>
          </w:tcPr>
          <w:p w14:paraId="12294414"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20.2%</w:t>
            </w:r>
          </w:p>
        </w:tc>
        <w:tc>
          <w:tcPr>
            <w:tcW w:w="681" w:type="dxa"/>
            <w:noWrap/>
            <w:hideMark/>
          </w:tcPr>
          <w:p w14:paraId="5425714E"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18.8%</w:t>
            </w:r>
          </w:p>
        </w:tc>
        <w:tc>
          <w:tcPr>
            <w:tcW w:w="1197" w:type="dxa"/>
            <w:noWrap/>
            <w:hideMark/>
          </w:tcPr>
          <w:p w14:paraId="3B78A676"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Decreasing</w:t>
            </w:r>
          </w:p>
        </w:tc>
        <w:tc>
          <w:tcPr>
            <w:tcW w:w="761" w:type="dxa"/>
            <w:noWrap/>
            <w:hideMark/>
          </w:tcPr>
          <w:p w14:paraId="1E96D0A4"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1.5%</w:t>
            </w:r>
          </w:p>
        </w:tc>
        <w:tc>
          <w:tcPr>
            <w:tcW w:w="761" w:type="dxa"/>
            <w:noWrap/>
            <w:hideMark/>
          </w:tcPr>
          <w:p w14:paraId="1ACED9E7"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5.1%</w:t>
            </w:r>
          </w:p>
        </w:tc>
        <w:tc>
          <w:tcPr>
            <w:tcW w:w="1338" w:type="dxa"/>
            <w:noWrap/>
            <w:hideMark/>
          </w:tcPr>
          <w:p w14:paraId="0C8A40D9"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Increasing</w:t>
            </w:r>
          </w:p>
        </w:tc>
      </w:tr>
      <w:tr w:rsidR="00221D7B" w:rsidRPr="00221D7B" w14:paraId="37B2E6FB" w14:textId="77777777" w:rsidTr="00A41109">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5A184694" w14:textId="77777777" w:rsidR="00221D7B" w:rsidRPr="00221D7B" w:rsidRDefault="00221D7B" w:rsidP="00221D7B">
            <w:pPr>
              <w:pStyle w:val="Caption"/>
              <w:jc w:val="center"/>
              <w:rPr>
                <w:i/>
                <w:iCs/>
              </w:rPr>
            </w:pPr>
            <w:r w:rsidRPr="00221D7B">
              <w:rPr>
                <w:i/>
                <w:iCs/>
              </w:rPr>
              <w:lastRenderedPageBreak/>
              <w:t>Planning &amp; Environment</w:t>
            </w:r>
          </w:p>
        </w:tc>
        <w:tc>
          <w:tcPr>
            <w:tcW w:w="682" w:type="dxa"/>
            <w:noWrap/>
            <w:hideMark/>
          </w:tcPr>
          <w:p w14:paraId="70587B26"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25.4%</w:t>
            </w:r>
          </w:p>
        </w:tc>
        <w:tc>
          <w:tcPr>
            <w:tcW w:w="681" w:type="dxa"/>
            <w:noWrap/>
            <w:hideMark/>
          </w:tcPr>
          <w:p w14:paraId="0D79436A"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24.7%</w:t>
            </w:r>
          </w:p>
        </w:tc>
        <w:tc>
          <w:tcPr>
            <w:tcW w:w="1197" w:type="dxa"/>
            <w:noWrap/>
            <w:hideMark/>
          </w:tcPr>
          <w:p w14:paraId="001BEE7D"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Decreasing</w:t>
            </w:r>
          </w:p>
        </w:tc>
        <w:tc>
          <w:tcPr>
            <w:tcW w:w="761" w:type="dxa"/>
            <w:noWrap/>
            <w:hideMark/>
          </w:tcPr>
          <w:p w14:paraId="4A98CEA2"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5.2%</w:t>
            </w:r>
          </w:p>
        </w:tc>
        <w:tc>
          <w:tcPr>
            <w:tcW w:w="761" w:type="dxa"/>
            <w:noWrap/>
            <w:hideMark/>
          </w:tcPr>
          <w:p w14:paraId="633BF08C"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5.1%</w:t>
            </w:r>
          </w:p>
        </w:tc>
        <w:tc>
          <w:tcPr>
            <w:tcW w:w="1338" w:type="dxa"/>
            <w:noWrap/>
            <w:hideMark/>
          </w:tcPr>
          <w:p w14:paraId="0D880EF8"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Increasing</w:t>
            </w:r>
          </w:p>
        </w:tc>
      </w:tr>
      <w:tr w:rsidR="00221D7B" w:rsidRPr="00221D7B" w14:paraId="51E73514" w14:textId="77777777" w:rsidTr="00A4110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5540F70" w14:textId="77777777" w:rsidR="00221D7B" w:rsidRPr="00221D7B" w:rsidRDefault="00221D7B" w:rsidP="00221D7B">
            <w:pPr>
              <w:pStyle w:val="Caption"/>
              <w:jc w:val="center"/>
              <w:rPr>
                <w:i/>
                <w:iCs/>
              </w:rPr>
            </w:pPr>
            <w:r w:rsidRPr="00221D7B">
              <w:rPr>
                <w:i/>
                <w:iCs/>
              </w:rPr>
              <w:t>Premier &amp; Cabinet</w:t>
            </w:r>
          </w:p>
        </w:tc>
        <w:tc>
          <w:tcPr>
            <w:tcW w:w="682" w:type="dxa"/>
            <w:noWrap/>
            <w:hideMark/>
          </w:tcPr>
          <w:p w14:paraId="64E116E0"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18.3%</w:t>
            </w:r>
          </w:p>
        </w:tc>
        <w:tc>
          <w:tcPr>
            <w:tcW w:w="681" w:type="dxa"/>
            <w:noWrap/>
            <w:hideMark/>
          </w:tcPr>
          <w:p w14:paraId="2A376B63"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17.4%</w:t>
            </w:r>
          </w:p>
        </w:tc>
        <w:tc>
          <w:tcPr>
            <w:tcW w:w="1197" w:type="dxa"/>
            <w:noWrap/>
            <w:hideMark/>
          </w:tcPr>
          <w:p w14:paraId="2B1F90E7"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Decreasing</w:t>
            </w:r>
          </w:p>
        </w:tc>
        <w:tc>
          <w:tcPr>
            <w:tcW w:w="761" w:type="dxa"/>
            <w:noWrap/>
            <w:hideMark/>
          </w:tcPr>
          <w:p w14:paraId="7506C2E2"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7.7%</w:t>
            </w:r>
          </w:p>
        </w:tc>
        <w:tc>
          <w:tcPr>
            <w:tcW w:w="761" w:type="dxa"/>
            <w:noWrap/>
            <w:hideMark/>
          </w:tcPr>
          <w:p w14:paraId="1F6F578F"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6.3%</w:t>
            </w:r>
          </w:p>
        </w:tc>
        <w:tc>
          <w:tcPr>
            <w:tcW w:w="1338" w:type="dxa"/>
            <w:noWrap/>
            <w:hideMark/>
          </w:tcPr>
          <w:p w14:paraId="0D7EBB61"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Decreasing</w:t>
            </w:r>
          </w:p>
        </w:tc>
      </w:tr>
      <w:tr w:rsidR="00221D7B" w:rsidRPr="00221D7B" w14:paraId="3E509EFC" w14:textId="77777777" w:rsidTr="00A41109">
        <w:trPr>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DEC2CFD" w14:textId="77777777" w:rsidR="00221D7B" w:rsidRPr="00221D7B" w:rsidRDefault="00221D7B" w:rsidP="00221D7B">
            <w:pPr>
              <w:pStyle w:val="Caption"/>
              <w:jc w:val="center"/>
              <w:rPr>
                <w:i/>
                <w:iCs/>
              </w:rPr>
            </w:pPr>
            <w:r w:rsidRPr="00221D7B">
              <w:rPr>
                <w:i/>
                <w:iCs/>
              </w:rPr>
              <w:t>Transport</w:t>
            </w:r>
          </w:p>
        </w:tc>
        <w:tc>
          <w:tcPr>
            <w:tcW w:w="682" w:type="dxa"/>
            <w:noWrap/>
            <w:hideMark/>
          </w:tcPr>
          <w:p w14:paraId="5886AEE4"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25.3%</w:t>
            </w:r>
          </w:p>
        </w:tc>
        <w:tc>
          <w:tcPr>
            <w:tcW w:w="681" w:type="dxa"/>
            <w:noWrap/>
            <w:hideMark/>
          </w:tcPr>
          <w:p w14:paraId="41F03785"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18.2%</w:t>
            </w:r>
          </w:p>
        </w:tc>
        <w:tc>
          <w:tcPr>
            <w:tcW w:w="1197" w:type="dxa"/>
            <w:noWrap/>
            <w:hideMark/>
          </w:tcPr>
          <w:p w14:paraId="378EC93A"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Decreasing</w:t>
            </w:r>
          </w:p>
        </w:tc>
        <w:tc>
          <w:tcPr>
            <w:tcW w:w="761" w:type="dxa"/>
            <w:noWrap/>
            <w:hideMark/>
          </w:tcPr>
          <w:p w14:paraId="7BCA7CB9"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5.2%</w:t>
            </w:r>
          </w:p>
        </w:tc>
        <w:tc>
          <w:tcPr>
            <w:tcW w:w="761" w:type="dxa"/>
            <w:noWrap/>
            <w:hideMark/>
          </w:tcPr>
          <w:p w14:paraId="221FD06D"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13.0%</w:t>
            </w:r>
          </w:p>
        </w:tc>
        <w:tc>
          <w:tcPr>
            <w:tcW w:w="1338" w:type="dxa"/>
            <w:noWrap/>
            <w:hideMark/>
          </w:tcPr>
          <w:p w14:paraId="398BABF5" w14:textId="77777777" w:rsidR="00221D7B" w:rsidRPr="00221D7B" w:rsidRDefault="00221D7B" w:rsidP="00221D7B">
            <w:pPr>
              <w:pStyle w:val="Caption"/>
              <w:jc w:val="center"/>
              <w:cnfStyle w:val="000000000000" w:firstRow="0" w:lastRow="0" w:firstColumn="0" w:lastColumn="0" w:oddVBand="0" w:evenVBand="0" w:oddHBand="0" w:evenHBand="0" w:firstRowFirstColumn="0" w:firstRowLastColumn="0" w:lastRowFirstColumn="0" w:lastRowLastColumn="0"/>
            </w:pPr>
            <w:r w:rsidRPr="00221D7B">
              <w:t>Increasing</w:t>
            </w:r>
          </w:p>
        </w:tc>
      </w:tr>
      <w:tr w:rsidR="00221D7B" w:rsidRPr="00221D7B" w14:paraId="1399A2C2" w14:textId="77777777" w:rsidTr="00A4110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5F0003D" w14:textId="77777777" w:rsidR="00221D7B" w:rsidRPr="00221D7B" w:rsidRDefault="00221D7B" w:rsidP="00221D7B">
            <w:pPr>
              <w:pStyle w:val="Caption"/>
              <w:jc w:val="center"/>
              <w:rPr>
                <w:i/>
                <w:iCs/>
              </w:rPr>
            </w:pPr>
            <w:r w:rsidRPr="00221D7B">
              <w:rPr>
                <w:i/>
                <w:iCs/>
              </w:rPr>
              <w:t>Treasury</w:t>
            </w:r>
          </w:p>
        </w:tc>
        <w:tc>
          <w:tcPr>
            <w:tcW w:w="682" w:type="dxa"/>
            <w:noWrap/>
            <w:hideMark/>
          </w:tcPr>
          <w:p w14:paraId="53460411"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7.6%</w:t>
            </w:r>
          </w:p>
        </w:tc>
        <w:tc>
          <w:tcPr>
            <w:tcW w:w="681" w:type="dxa"/>
            <w:noWrap/>
            <w:hideMark/>
          </w:tcPr>
          <w:p w14:paraId="4016ED32"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14.2%</w:t>
            </w:r>
          </w:p>
        </w:tc>
        <w:tc>
          <w:tcPr>
            <w:tcW w:w="1197" w:type="dxa"/>
            <w:noWrap/>
            <w:hideMark/>
          </w:tcPr>
          <w:p w14:paraId="4A967C04"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Increasing</w:t>
            </w:r>
          </w:p>
        </w:tc>
        <w:tc>
          <w:tcPr>
            <w:tcW w:w="761" w:type="dxa"/>
            <w:noWrap/>
            <w:hideMark/>
          </w:tcPr>
          <w:p w14:paraId="0A209207"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2.4%</w:t>
            </w:r>
          </w:p>
        </w:tc>
        <w:tc>
          <w:tcPr>
            <w:tcW w:w="761" w:type="dxa"/>
            <w:noWrap/>
            <w:hideMark/>
          </w:tcPr>
          <w:p w14:paraId="1E8ED197"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3.0%</w:t>
            </w:r>
          </w:p>
        </w:tc>
        <w:tc>
          <w:tcPr>
            <w:tcW w:w="1338" w:type="dxa"/>
            <w:noWrap/>
            <w:hideMark/>
          </w:tcPr>
          <w:p w14:paraId="680B466D" w14:textId="77777777" w:rsidR="00221D7B" w:rsidRPr="00221D7B" w:rsidRDefault="00221D7B" w:rsidP="00221D7B">
            <w:pPr>
              <w:pStyle w:val="Caption"/>
              <w:jc w:val="center"/>
              <w:cnfStyle w:val="000000100000" w:firstRow="0" w:lastRow="0" w:firstColumn="0" w:lastColumn="0" w:oddVBand="0" w:evenVBand="0" w:oddHBand="1" w:evenHBand="0" w:firstRowFirstColumn="0" w:firstRowLastColumn="0" w:lastRowFirstColumn="0" w:lastRowLastColumn="0"/>
            </w:pPr>
            <w:r w:rsidRPr="00221D7B">
              <w:t>Increasing</w:t>
            </w:r>
          </w:p>
        </w:tc>
      </w:tr>
    </w:tbl>
    <w:p w14:paraId="1364B5F8" w14:textId="26CF0CA6" w:rsidR="00321627" w:rsidRDefault="00321627" w:rsidP="00321627">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bookmarkEnd w:id="5"/>
      <w:r>
        <w:rPr>
          <w:lang w:val="en-US"/>
        </w:rPr>
        <w:t xml:space="preserve"> </w:t>
      </w:r>
      <w:r w:rsidRPr="008A0BDA">
        <w:rPr>
          <w:lang w:val="en-US"/>
        </w:rPr>
        <w:t>Trends in part-time employment per cluster</w:t>
      </w:r>
    </w:p>
    <w:p w14:paraId="745C44AE" w14:textId="74C5BC83" w:rsidR="00C21369" w:rsidRDefault="00A929BB" w:rsidP="00C047C6">
      <w:pPr>
        <w:pStyle w:val="Heading1"/>
        <w:rPr>
          <w:lang w:val="en-US"/>
        </w:rPr>
      </w:pPr>
      <w:r w:rsidRPr="00A929BB">
        <w:rPr>
          <w:lang w:val="en-US"/>
        </w:rPr>
        <w:t>Projection of what the representation will be by 2025 if the current trends continue</w:t>
      </w:r>
    </w:p>
    <w:p w14:paraId="10F49756" w14:textId="77777777" w:rsidR="008941F3" w:rsidRDefault="003D2D35" w:rsidP="003D2D35">
      <w:pPr>
        <w:rPr>
          <w:lang w:val="en-US"/>
        </w:rPr>
      </w:pPr>
      <w:r>
        <w:rPr>
          <w:lang w:val="en-US"/>
        </w:rPr>
        <w:t>If the current trend continued</w:t>
      </w:r>
      <w:r w:rsidR="008941F3">
        <w:rPr>
          <w:lang w:val="en-US"/>
        </w:rPr>
        <w:t>:</w:t>
      </w:r>
    </w:p>
    <w:p w14:paraId="6A0C4448" w14:textId="068A3AFC" w:rsidR="008941F3" w:rsidRDefault="003D2D35" w:rsidP="008941F3">
      <w:pPr>
        <w:pStyle w:val="ListParagraph"/>
        <w:numPr>
          <w:ilvl w:val="0"/>
          <w:numId w:val="3"/>
        </w:numPr>
        <w:rPr>
          <w:lang w:val="en-US"/>
        </w:rPr>
      </w:pPr>
      <w:r w:rsidRPr="008941F3">
        <w:rPr>
          <w:lang w:val="en-US"/>
        </w:rPr>
        <w:t xml:space="preserve">the percentage of part-time females will be </w:t>
      </w:r>
      <w:r w:rsidR="00883E27">
        <w:rPr>
          <w:lang w:val="en-US"/>
        </w:rPr>
        <w:t>increase</w:t>
      </w:r>
      <w:r w:rsidRPr="008941F3">
        <w:rPr>
          <w:lang w:val="en-US"/>
        </w:rPr>
        <w:t xml:space="preserve"> from the current </w:t>
      </w:r>
      <w:r w:rsidR="00883E27">
        <w:rPr>
          <w:lang w:val="en-US"/>
        </w:rPr>
        <w:t>36.7</w:t>
      </w:r>
      <w:r w:rsidRPr="008941F3">
        <w:rPr>
          <w:lang w:val="en-US"/>
        </w:rPr>
        <w:t xml:space="preserve">% to </w:t>
      </w:r>
      <w:r w:rsidR="00883E27">
        <w:rPr>
          <w:lang w:val="en-US"/>
        </w:rPr>
        <w:t>37.6</w:t>
      </w:r>
      <w:r w:rsidRPr="008941F3">
        <w:rPr>
          <w:lang w:val="en-US"/>
        </w:rPr>
        <w:t xml:space="preserve">% in 2025, </w:t>
      </w:r>
    </w:p>
    <w:p w14:paraId="4589379C" w14:textId="6E9D45E7" w:rsidR="008941F3" w:rsidRDefault="003D2D35" w:rsidP="008941F3">
      <w:pPr>
        <w:pStyle w:val="ListParagraph"/>
        <w:numPr>
          <w:ilvl w:val="0"/>
          <w:numId w:val="3"/>
        </w:numPr>
        <w:rPr>
          <w:lang w:val="en-US"/>
        </w:rPr>
      </w:pPr>
      <w:r w:rsidRPr="008941F3">
        <w:rPr>
          <w:lang w:val="en-US"/>
        </w:rPr>
        <w:t xml:space="preserve">the percentage of part-time males will increase from the current </w:t>
      </w:r>
      <w:r w:rsidR="00DB0B29">
        <w:rPr>
          <w:lang w:val="en-US"/>
        </w:rPr>
        <w:t>16.5</w:t>
      </w:r>
      <w:r w:rsidRPr="008941F3">
        <w:rPr>
          <w:lang w:val="en-US"/>
        </w:rPr>
        <w:t xml:space="preserve">% to become </w:t>
      </w:r>
      <w:r w:rsidR="00DB0B29">
        <w:rPr>
          <w:lang w:val="en-US"/>
        </w:rPr>
        <w:t>26.8</w:t>
      </w:r>
      <w:r w:rsidRPr="008941F3">
        <w:rPr>
          <w:lang w:val="en-US"/>
        </w:rPr>
        <w:t>%</w:t>
      </w:r>
      <w:r w:rsidR="00883E27">
        <w:rPr>
          <w:lang w:val="en-US"/>
        </w:rPr>
        <w:t>,</w:t>
      </w:r>
      <w:r w:rsidRPr="008941F3">
        <w:rPr>
          <w:lang w:val="en-US"/>
        </w:rPr>
        <w:t xml:space="preserve"> </w:t>
      </w:r>
    </w:p>
    <w:p w14:paraId="7F30E051" w14:textId="018E547F" w:rsidR="00883E27" w:rsidRDefault="00883E27" w:rsidP="008941F3">
      <w:pPr>
        <w:pStyle w:val="ListParagraph"/>
        <w:numPr>
          <w:ilvl w:val="0"/>
          <w:numId w:val="3"/>
        </w:numPr>
        <w:rPr>
          <w:lang w:val="en-US"/>
        </w:rPr>
      </w:pPr>
      <w:r>
        <w:rPr>
          <w:lang w:val="en-US"/>
        </w:rPr>
        <w:t>the ratio of part-time to the total employees will increase from 29.6% to 34.2%</w:t>
      </w:r>
      <w:r w:rsidR="00221D7B">
        <w:rPr>
          <w:lang w:val="en-US"/>
        </w:rPr>
        <w:t>.</w:t>
      </w:r>
    </w:p>
    <w:p w14:paraId="1B2A9855" w14:textId="7905D329" w:rsidR="003D2D35" w:rsidRPr="008941F3" w:rsidRDefault="003D2D35" w:rsidP="008941F3">
      <w:pPr>
        <w:rPr>
          <w:lang w:val="en-US"/>
        </w:rPr>
      </w:pPr>
      <w:r w:rsidRPr="008941F3">
        <w:rPr>
          <w:lang w:val="en-US"/>
        </w:rPr>
        <w:t xml:space="preserve">These trends can be seen in </w:t>
      </w:r>
      <w:r w:rsidR="008F7B5E" w:rsidRPr="008941F3">
        <w:rPr>
          <w:lang w:val="en-US"/>
        </w:rPr>
        <w:fldChar w:fldCharType="begin"/>
      </w:r>
      <w:r w:rsidR="008F7B5E" w:rsidRPr="008941F3">
        <w:rPr>
          <w:lang w:val="en-US"/>
        </w:rPr>
        <w:instrText xml:space="preserve"> REF _Ref80190851 \h </w:instrText>
      </w:r>
      <w:r w:rsidR="008F7B5E">
        <w:rPr>
          <w:lang w:val="en-US"/>
        </w:rPr>
      </w:r>
      <w:r w:rsidR="008F7B5E" w:rsidRPr="008941F3">
        <w:rPr>
          <w:lang w:val="en-US"/>
        </w:rPr>
        <w:fldChar w:fldCharType="separate"/>
      </w:r>
      <w:r w:rsidR="008F7B5E">
        <w:t xml:space="preserve">Figure </w:t>
      </w:r>
      <w:r w:rsidR="008F7B5E">
        <w:rPr>
          <w:noProof/>
        </w:rPr>
        <w:t>6</w:t>
      </w:r>
      <w:r w:rsidR="008F7B5E" w:rsidRPr="008941F3">
        <w:rPr>
          <w:lang w:val="en-US"/>
        </w:rPr>
        <w:fldChar w:fldCharType="end"/>
      </w:r>
      <w:r w:rsidR="008F7B5E" w:rsidRPr="008941F3">
        <w:rPr>
          <w:lang w:val="en-US"/>
        </w:rPr>
        <w:t>.</w:t>
      </w:r>
    </w:p>
    <w:p w14:paraId="5FDBC861" w14:textId="7633987E" w:rsidR="008F7B5E" w:rsidRDefault="00DB0B29" w:rsidP="008F7B5E">
      <w:pPr>
        <w:keepNext/>
        <w:jc w:val="center"/>
      </w:pPr>
      <w:r>
        <w:rPr>
          <w:noProof/>
        </w:rPr>
        <w:lastRenderedPageBreak/>
        <w:drawing>
          <wp:inline distT="0" distB="0" distL="0" distR="0" wp14:anchorId="37653A04" wp14:editId="39EEBC56">
            <wp:extent cx="5274310" cy="1964871"/>
            <wp:effectExtent l="0" t="0" r="2540" b="16510"/>
            <wp:docPr id="5" name="Chart 5">
              <a:extLst xmlns:a="http://schemas.openxmlformats.org/drawingml/2006/main">
                <a:ext uri="{FF2B5EF4-FFF2-40B4-BE49-F238E27FC236}">
                  <a16:creationId xmlns:a16="http://schemas.microsoft.com/office/drawing/2014/main" id="{6AC50C23-AF54-42AC-9874-A9A5733CE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noProof/>
        </w:rPr>
        <w:drawing>
          <wp:inline distT="0" distB="0" distL="0" distR="0" wp14:anchorId="6BDE1C7F" wp14:editId="16BC0F87">
            <wp:extent cx="5255895" cy="1714500"/>
            <wp:effectExtent l="0" t="0" r="1905" b="0"/>
            <wp:docPr id="6" name="Chart 6">
              <a:extLst xmlns:a="http://schemas.openxmlformats.org/drawingml/2006/main">
                <a:ext uri="{FF2B5EF4-FFF2-40B4-BE49-F238E27FC236}">
                  <a16:creationId xmlns:a16="http://schemas.microsoft.com/office/drawing/2014/main" id="{F4D2DFC0-F170-44E6-BCC9-61DB0ABE8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46E237E" w14:textId="5B3A1971" w:rsidR="00DB0B29" w:rsidRDefault="00883E27" w:rsidP="008F7B5E">
      <w:pPr>
        <w:keepNext/>
        <w:jc w:val="center"/>
      </w:pPr>
      <w:r>
        <w:rPr>
          <w:noProof/>
        </w:rPr>
        <w:drawing>
          <wp:inline distT="0" distB="0" distL="0" distR="0" wp14:anchorId="5EEEF99D" wp14:editId="47AC712E">
            <wp:extent cx="5252085" cy="1681842"/>
            <wp:effectExtent l="0" t="0" r="5715" b="13970"/>
            <wp:docPr id="13" name="Chart 13">
              <a:extLst xmlns:a="http://schemas.openxmlformats.org/drawingml/2006/main">
                <a:ext uri="{FF2B5EF4-FFF2-40B4-BE49-F238E27FC236}">
                  <a16:creationId xmlns:a16="http://schemas.microsoft.com/office/drawing/2014/main" id="{79DB8392-2DBF-4D2C-A30F-6B6228EAF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7436484" w14:textId="32220486" w:rsidR="003D2D35" w:rsidRPr="003D2D35" w:rsidRDefault="008F7B5E" w:rsidP="008F7B5E">
      <w:pPr>
        <w:pStyle w:val="Caption"/>
        <w:jc w:val="center"/>
        <w:rPr>
          <w:lang w:val="en-US"/>
        </w:rPr>
      </w:pPr>
      <w:bookmarkStart w:id="6" w:name="_Ref80190851"/>
      <w:r>
        <w:t xml:space="preserve">Figure </w:t>
      </w:r>
      <w:r>
        <w:fldChar w:fldCharType="begin"/>
      </w:r>
      <w:r>
        <w:instrText xml:space="preserve"> SEQ Figure \* ARABIC </w:instrText>
      </w:r>
      <w:r>
        <w:fldChar w:fldCharType="separate"/>
      </w:r>
      <w:r>
        <w:rPr>
          <w:noProof/>
        </w:rPr>
        <w:t>6</w:t>
      </w:r>
      <w:r>
        <w:fldChar w:fldCharType="end"/>
      </w:r>
      <w:bookmarkEnd w:id="6"/>
      <w:r>
        <w:rPr>
          <w:lang w:val="en-US"/>
        </w:rPr>
        <w:t xml:space="preserve"> Projections for 2025</w:t>
      </w:r>
    </w:p>
    <w:sectPr w:rsidR="003D2D35" w:rsidRPr="003D2D35" w:rsidSect="00FB254E">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1297"/>
    <w:multiLevelType w:val="hybridMultilevel"/>
    <w:tmpl w:val="B654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644A8C"/>
    <w:multiLevelType w:val="hybridMultilevel"/>
    <w:tmpl w:val="52723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669D3"/>
    <w:multiLevelType w:val="hybridMultilevel"/>
    <w:tmpl w:val="2C4A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95A"/>
    <w:rsid w:val="001916CD"/>
    <w:rsid w:val="00221D7B"/>
    <w:rsid w:val="0024173E"/>
    <w:rsid w:val="0026698F"/>
    <w:rsid w:val="0028251B"/>
    <w:rsid w:val="00321627"/>
    <w:rsid w:val="00352440"/>
    <w:rsid w:val="003704B9"/>
    <w:rsid w:val="003D2D35"/>
    <w:rsid w:val="00463E12"/>
    <w:rsid w:val="004A7FC0"/>
    <w:rsid w:val="004B1855"/>
    <w:rsid w:val="005F5F9C"/>
    <w:rsid w:val="006F5DDB"/>
    <w:rsid w:val="00780FB4"/>
    <w:rsid w:val="007B6C47"/>
    <w:rsid w:val="007C7C03"/>
    <w:rsid w:val="007D238A"/>
    <w:rsid w:val="007E42E3"/>
    <w:rsid w:val="008737B1"/>
    <w:rsid w:val="00883E27"/>
    <w:rsid w:val="008941F3"/>
    <w:rsid w:val="008C3C74"/>
    <w:rsid w:val="008F7B5E"/>
    <w:rsid w:val="00A11A1D"/>
    <w:rsid w:val="00A22E90"/>
    <w:rsid w:val="00A41109"/>
    <w:rsid w:val="00A929BB"/>
    <w:rsid w:val="00AD4C50"/>
    <w:rsid w:val="00BF1D8F"/>
    <w:rsid w:val="00C047C6"/>
    <w:rsid w:val="00C21369"/>
    <w:rsid w:val="00D1495A"/>
    <w:rsid w:val="00D25253"/>
    <w:rsid w:val="00DB0B29"/>
    <w:rsid w:val="00DD65E5"/>
    <w:rsid w:val="00E16BD9"/>
    <w:rsid w:val="00F17AC7"/>
    <w:rsid w:val="00FA53FE"/>
    <w:rsid w:val="00FB254E"/>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E1F36"/>
  <w15:chartTrackingRefBased/>
  <w15:docId w15:val="{D79BA7BA-49F5-4772-8026-8472C0D83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A92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24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440"/>
    <w:rPr>
      <w:rFonts w:asciiTheme="majorHAnsi" w:eastAsiaTheme="majorEastAsia" w:hAnsiTheme="majorHAnsi" w:cstheme="majorBidi"/>
      <w:spacing w:val="-10"/>
      <w:kern w:val="28"/>
      <w:sz w:val="56"/>
      <w:szCs w:val="56"/>
      <w:lang w:val="en-AU"/>
    </w:rPr>
  </w:style>
  <w:style w:type="paragraph" w:styleId="ListParagraph">
    <w:name w:val="List Paragraph"/>
    <w:basedOn w:val="Normal"/>
    <w:uiPriority w:val="34"/>
    <w:qFormat/>
    <w:rsid w:val="00A929BB"/>
    <w:pPr>
      <w:ind w:left="720"/>
      <w:contextualSpacing/>
    </w:pPr>
  </w:style>
  <w:style w:type="character" w:customStyle="1" w:styleId="Heading1Char">
    <w:name w:val="Heading 1 Char"/>
    <w:basedOn w:val="DefaultParagraphFont"/>
    <w:link w:val="Heading1"/>
    <w:uiPriority w:val="9"/>
    <w:rsid w:val="00A929BB"/>
    <w:rPr>
      <w:rFonts w:asciiTheme="majorHAnsi" w:eastAsiaTheme="majorEastAsia" w:hAnsiTheme="majorHAnsi" w:cstheme="majorBidi"/>
      <w:color w:val="2F5496" w:themeColor="accent1" w:themeShade="BF"/>
      <w:sz w:val="32"/>
      <w:szCs w:val="32"/>
      <w:lang w:val="en-AU"/>
    </w:rPr>
  </w:style>
  <w:style w:type="paragraph" w:styleId="Caption">
    <w:name w:val="caption"/>
    <w:basedOn w:val="Normal"/>
    <w:next w:val="Normal"/>
    <w:uiPriority w:val="35"/>
    <w:unhideWhenUsed/>
    <w:qFormat/>
    <w:rsid w:val="00780FB4"/>
    <w:pPr>
      <w:spacing w:after="200" w:line="240" w:lineRule="auto"/>
    </w:pPr>
    <w:rPr>
      <w:i/>
      <w:iCs/>
      <w:color w:val="44546A" w:themeColor="text2"/>
      <w:sz w:val="18"/>
      <w:szCs w:val="18"/>
    </w:rPr>
  </w:style>
  <w:style w:type="table" w:styleId="TableGrid">
    <w:name w:val="Table Grid"/>
    <w:basedOn w:val="TableNormal"/>
    <w:uiPriority w:val="39"/>
    <w:rsid w:val="00321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A411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55628">
      <w:bodyDiv w:val="1"/>
      <w:marLeft w:val="0"/>
      <w:marRight w:val="0"/>
      <w:marTop w:val="0"/>
      <w:marBottom w:val="0"/>
      <w:divBdr>
        <w:top w:val="none" w:sz="0" w:space="0" w:color="auto"/>
        <w:left w:val="none" w:sz="0" w:space="0" w:color="auto"/>
        <w:bottom w:val="none" w:sz="0" w:space="0" w:color="auto"/>
        <w:right w:val="none" w:sz="0" w:space="0" w:color="auto"/>
      </w:divBdr>
    </w:div>
    <w:div w:id="70610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chart" Target="charts/chart7.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ocuments\Job%20Applications\044%20NSW%20GOV%20-%20Graduate%20program\virtual%20internship\Data%20Analysis%20-%20Data%20She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oleObject" Target="file:///F:\Documents\Job%20Applications\044%20NSW%20GOV%20-%20Graduate%20program\virtual%20internship\Data%20Analysis%20-%20Data%20Shee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Documents\Job%20Applications\044%20NSW%20GOV%20-%20Graduate%20program\virtual%20internship\Data%20Analysis%20-%20Data%20Shee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Documents\Job%20Applications\044%20NSW%20GOV%20-%20Graduate%20program\virtual%20internship\Data%20Analysis%20-%20Data%20Sheet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Analysis - Data Sheets.xlsx]Q1!PivotTable26</c:name>
    <c:fmtId val="-1"/>
  </c:pivotSource>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r>
              <a:rPr lang="en-US"/>
              <a:t>MALE VS FEMALE RATIO</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endParaRPr lang="en-US"/>
        </a:p>
      </c:txPr>
    </c:title>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dLbl>
          <c:idx val="0"/>
          <c:layout>
            <c:manualLayout>
              <c:x val="3.2564202761649522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dLbl>
          <c:idx val="0"/>
          <c:layout>
            <c:manualLayout>
              <c:x val="3.0393255910872868E-2"/>
              <c:y val="3.6919828157095567E-3"/>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dLbl>
          <c:idx val="0"/>
          <c:layout>
            <c:manualLayout>
              <c:x val="3.0393255910872888E-2"/>
              <c:y val="-6.7685569711865343E-17"/>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dLbl>
          <c:idx val="0"/>
          <c:layout>
            <c:manualLayout>
              <c:x val="3.0393255910872888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dLbl>
          <c:idx val="0"/>
          <c:layout>
            <c:manualLayout>
              <c:x val="2.3880415358542965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dLbl>
          <c:idx val="0"/>
          <c:layout>
            <c:manualLayout>
              <c:x val="2.3880415358542965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dLbl>
          <c:idx val="0"/>
          <c:layout>
            <c:manualLayout>
              <c:x val="3.0393255910872888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dLbl>
          <c:idx val="0"/>
          <c:layout>
            <c:manualLayout>
              <c:x val="3.0393255910872888E-2"/>
              <c:y val="-6.7685569711865343E-17"/>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dLbl>
          <c:idx val="0"/>
          <c:layout>
            <c:manualLayout>
              <c:x val="3.0393255910872868E-2"/>
              <c:y val="3.6919828157095567E-3"/>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dLbl>
          <c:idx val="0"/>
          <c:layout>
            <c:manualLayout>
              <c:x val="3.2564202761649522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dLbl>
          <c:idx val="0"/>
          <c:layout>
            <c:manualLayout>
              <c:x val="2.3880415358542965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dLbl>
          <c:idx val="0"/>
          <c:layout>
            <c:manualLayout>
              <c:x val="3.0393255910872888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dLbl>
          <c:idx val="0"/>
          <c:layout>
            <c:manualLayout>
              <c:x val="3.0393255910872888E-2"/>
              <c:y val="-6.7685569711865343E-17"/>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dLbl>
          <c:idx val="0"/>
          <c:layout>
            <c:manualLayout>
              <c:x val="3.0393255910872868E-2"/>
              <c:y val="3.6919828157095567E-3"/>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dLbl>
          <c:idx val="0"/>
          <c:layout>
            <c:manualLayout>
              <c:x val="3.2564202761649522E-2"/>
              <c:y val="0"/>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5630444278588221"/>
          <c:y val="0.16239301038700277"/>
          <c:w val="0.79583671466201811"/>
          <c:h val="0.45679982462087693"/>
        </c:manualLayout>
      </c:layout>
      <c:barChart>
        <c:barDir val="bar"/>
        <c:grouping val="stacked"/>
        <c:varyColors val="0"/>
        <c:ser>
          <c:idx val="0"/>
          <c:order val="0"/>
          <c:tx>
            <c:strRef>
              <c:f>'Q1'!$G$2:$G$3</c:f>
              <c:strCache>
                <c:ptCount val="1"/>
                <c:pt idx="0">
                  <c:v>Male</c:v>
                </c:pt>
              </c:strCache>
            </c:strRef>
          </c:tx>
          <c:spPr>
            <a:solidFill>
              <a:schemeClr val="accent1"/>
            </a:solidFill>
            <a:ln>
              <a:noFill/>
            </a:ln>
            <a:effectLst/>
          </c:spPr>
          <c:invertIfNegative val="0"/>
          <c:dLbls>
            <c:dLbl>
              <c:idx val="0"/>
              <c:layout>
                <c:manualLayout>
                  <c:x val="2.3880415358542965E-2"/>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64-4F4D-817C-CDDCCCB47656}"/>
                </c:ext>
              </c:extLst>
            </c:dLbl>
            <c:dLbl>
              <c:idx val="1"/>
              <c:layout>
                <c:manualLayout>
                  <c:x val="3.0393255910872888E-2"/>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D64-4F4D-817C-CDDCCCB47656}"/>
                </c:ext>
              </c:extLst>
            </c:dLbl>
            <c:dLbl>
              <c:idx val="2"/>
              <c:layout>
                <c:manualLayout>
                  <c:x val="3.0393255910872888E-2"/>
                  <c:y val="-6.7685569711865343E-17"/>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D64-4F4D-817C-CDDCCCB47656}"/>
                </c:ext>
              </c:extLst>
            </c:dLbl>
            <c:dLbl>
              <c:idx val="3"/>
              <c:layout>
                <c:manualLayout>
                  <c:x val="3.0393255910872868E-2"/>
                  <c:y val="3.6919828157095567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D64-4F4D-817C-CDDCCCB47656}"/>
                </c:ext>
              </c:extLst>
            </c:dLbl>
            <c:dLbl>
              <c:idx val="4"/>
              <c:layout>
                <c:manualLayout>
                  <c:x val="3.2564202761649522E-2"/>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D64-4F4D-817C-CDDCCCB47656}"/>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'Q1'!$F$4:$F$8</c:f>
              <c:strCache>
                <c:ptCount val="5"/>
                <c:pt idx="0">
                  <c:v>2014</c:v>
                </c:pt>
                <c:pt idx="1">
                  <c:v>2015</c:v>
                </c:pt>
                <c:pt idx="2">
                  <c:v>2016</c:v>
                </c:pt>
                <c:pt idx="3">
                  <c:v>2017</c:v>
                </c:pt>
                <c:pt idx="4">
                  <c:v>2018</c:v>
                </c:pt>
              </c:strCache>
            </c:strRef>
          </c:cat>
          <c:val>
            <c:numRef>
              <c:f>'Q1'!$G$4:$G$8</c:f>
              <c:numCache>
                <c:formatCode>0.00%</c:formatCode>
                <c:ptCount val="5"/>
                <c:pt idx="0">
                  <c:v>0.35987028779894609</c:v>
                </c:pt>
                <c:pt idx="1">
                  <c:v>0.3543506044766761</c:v>
                </c:pt>
                <c:pt idx="2">
                  <c:v>0.35336048608576826</c:v>
                </c:pt>
                <c:pt idx="3">
                  <c:v>0.35194590794556041</c:v>
                </c:pt>
                <c:pt idx="4">
                  <c:v>0.35158119432878299</c:v>
                </c:pt>
              </c:numCache>
            </c:numRef>
          </c:val>
          <c:extLst>
            <c:ext xmlns:c16="http://schemas.microsoft.com/office/drawing/2014/chart" uri="{C3380CC4-5D6E-409C-BE32-E72D297353CC}">
              <c16:uniqueId val="{00000005-CD64-4F4D-817C-CDDCCCB47656}"/>
            </c:ext>
          </c:extLst>
        </c:ser>
        <c:ser>
          <c:idx val="1"/>
          <c:order val="1"/>
          <c:tx>
            <c:strRef>
              <c:f>'Q1'!$H$2:$H$3</c:f>
              <c:strCache>
                <c:ptCount val="1"/>
                <c:pt idx="0">
                  <c:v>Female</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'Q1'!$F$4:$F$8</c:f>
              <c:strCache>
                <c:ptCount val="5"/>
                <c:pt idx="0">
                  <c:v>2014</c:v>
                </c:pt>
                <c:pt idx="1">
                  <c:v>2015</c:v>
                </c:pt>
                <c:pt idx="2">
                  <c:v>2016</c:v>
                </c:pt>
                <c:pt idx="3">
                  <c:v>2017</c:v>
                </c:pt>
                <c:pt idx="4">
                  <c:v>2018</c:v>
                </c:pt>
              </c:strCache>
            </c:strRef>
          </c:cat>
          <c:val>
            <c:numRef>
              <c:f>'Q1'!$H$4:$H$8</c:f>
              <c:numCache>
                <c:formatCode>0.00%</c:formatCode>
                <c:ptCount val="5"/>
                <c:pt idx="0">
                  <c:v>0.64012971220105386</c:v>
                </c:pt>
                <c:pt idx="1">
                  <c:v>0.6456493955233239</c:v>
                </c:pt>
                <c:pt idx="2">
                  <c:v>0.6466395139142318</c:v>
                </c:pt>
                <c:pt idx="3">
                  <c:v>0.64805409205443965</c:v>
                </c:pt>
                <c:pt idx="4">
                  <c:v>0.64841880567121701</c:v>
                </c:pt>
              </c:numCache>
            </c:numRef>
          </c:val>
          <c:extLst>
            <c:ext xmlns:c16="http://schemas.microsoft.com/office/drawing/2014/chart" uri="{C3380CC4-5D6E-409C-BE32-E72D297353CC}">
              <c16:uniqueId val="{00000006-CD64-4F4D-817C-CDDCCCB47656}"/>
            </c:ext>
          </c:extLst>
        </c:ser>
        <c:dLbls>
          <c:dLblPos val="ctr"/>
          <c:showLegendKey val="0"/>
          <c:showVal val="1"/>
          <c:showCatName val="0"/>
          <c:showSerName val="0"/>
          <c:showPercent val="0"/>
          <c:showBubbleSize val="0"/>
        </c:dLbls>
        <c:gapWidth val="219"/>
        <c:overlap val="100"/>
        <c:axId val="1733843264"/>
        <c:axId val="1733837440"/>
      </c:barChart>
      <c:catAx>
        <c:axId val="17338432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733837440"/>
        <c:crosses val="autoZero"/>
        <c:auto val="1"/>
        <c:lblAlgn val="ctr"/>
        <c:lblOffset val="100"/>
        <c:noMultiLvlLbl val="0"/>
      </c:catAx>
      <c:valAx>
        <c:axId val="1733837440"/>
        <c:scaling>
          <c:orientation val="minMax"/>
          <c:max val="0.66000000000000014"/>
          <c:min val="0.34000000000000008"/>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733843264"/>
        <c:crosses val="autoZero"/>
        <c:crossBetween val="between"/>
        <c:majorUnit val="5.000000000000001E-2"/>
        <c:minorUnit val="2.5000000000000005E-2"/>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Black" panose="020B0A040201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Analysis - Data Sheets.xlsx]Q1!PivotTable4</c:name>
    <c:fmtId val="-1"/>
  </c:pivotSource>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r>
              <a:rPr lang="en-US"/>
              <a:t>HEADCOUNT</a:t>
            </a:r>
            <a:r>
              <a:rPr lang="en-US" baseline="0"/>
              <a:t> DIFFERENCE FOR </a:t>
            </a:r>
            <a:r>
              <a:rPr lang="en-US"/>
              <a:t>MALE AND FEMALE RELATIVE</a:t>
            </a:r>
            <a:r>
              <a:rPr lang="en-US" baseline="0"/>
              <a:t> TO</a:t>
            </a:r>
            <a:r>
              <a:rPr lang="en-US"/>
              <a:t> 2014 </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'Q1'!$B$3:$B$4</c:f>
              <c:strCache>
                <c:ptCount val="1"/>
                <c:pt idx="0">
                  <c:v>Male</c:v>
                </c:pt>
              </c:strCache>
            </c:strRef>
          </c:tx>
          <c:spPr>
            <a:solidFill>
              <a:schemeClr val="accent1"/>
            </a:solidFill>
            <a:ln>
              <a:noFill/>
            </a:ln>
            <a:effectLst/>
          </c:spPr>
          <c:invertIfNegative val="0"/>
          <c:cat>
            <c:strRef>
              <c:f>'Q1'!$A$5:$A$10</c:f>
              <c:strCache>
                <c:ptCount val="5"/>
                <c:pt idx="0">
                  <c:v>2014</c:v>
                </c:pt>
                <c:pt idx="1">
                  <c:v>2015</c:v>
                </c:pt>
                <c:pt idx="2">
                  <c:v>2016</c:v>
                </c:pt>
                <c:pt idx="3">
                  <c:v>2017</c:v>
                </c:pt>
                <c:pt idx="4">
                  <c:v>2018</c:v>
                </c:pt>
              </c:strCache>
            </c:strRef>
          </c:cat>
          <c:val>
            <c:numRef>
              <c:f>'Q1'!$B$5:$B$10</c:f>
              <c:numCache>
                <c:formatCode>#,##0.0,\ "K"</c:formatCode>
                <c:ptCount val="5"/>
                <c:pt idx="1">
                  <c:v>-4803</c:v>
                </c:pt>
                <c:pt idx="2">
                  <c:v>-4955</c:v>
                </c:pt>
                <c:pt idx="3">
                  <c:v>-3941</c:v>
                </c:pt>
                <c:pt idx="4">
                  <c:v>-4198</c:v>
                </c:pt>
              </c:numCache>
            </c:numRef>
          </c:val>
          <c:extLst>
            <c:ext xmlns:c16="http://schemas.microsoft.com/office/drawing/2014/chart" uri="{C3380CC4-5D6E-409C-BE32-E72D297353CC}">
              <c16:uniqueId val="{00000000-7A4B-4051-8A7E-4D73EDC224EE}"/>
            </c:ext>
          </c:extLst>
        </c:ser>
        <c:ser>
          <c:idx val="1"/>
          <c:order val="1"/>
          <c:tx>
            <c:strRef>
              <c:f>'Q1'!$C$3:$C$4</c:f>
              <c:strCache>
                <c:ptCount val="1"/>
                <c:pt idx="0">
                  <c:v>Female</c:v>
                </c:pt>
              </c:strCache>
            </c:strRef>
          </c:tx>
          <c:spPr>
            <a:solidFill>
              <a:schemeClr val="accent2"/>
            </a:solidFill>
            <a:ln>
              <a:noFill/>
            </a:ln>
            <a:effectLst/>
          </c:spPr>
          <c:invertIfNegative val="0"/>
          <c:cat>
            <c:strRef>
              <c:f>'Q1'!$A$5:$A$10</c:f>
              <c:strCache>
                <c:ptCount val="5"/>
                <c:pt idx="0">
                  <c:v>2014</c:v>
                </c:pt>
                <c:pt idx="1">
                  <c:v>2015</c:v>
                </c:pt>
                <c:pt idx="2">
                  <c:v>2016</c:v>
                </c:pt>
                <c:pt idx="3">
                  <c:v>2017</c:v>
                </c:pt>
                <c:pt idx="4">
                  <c:v>2018</c:v>
                </c:pt>
              </c:strCache>
            </c:strRef>
          </c:cat>
          <c:val>
            <c:numRef>
              <c:f>'Q1'!$C$5:$C$10</c:f>
              <c:numCache>
                <c:formatCode>#,##0.0,\ "K"</c:formatCode>
                <c:ptCount val="5"/>
                <c:pt idx="1">
                  <c:v>-2795</c:v>
                </c:pt>
                <c:pt idx="2">
                  <c:v>-2023</c:v>
                </c:pt>
                <c:pt idx="3">
                  <c:v>1353</c:v>
                </c:pt>
                <c:pt idx="4">
                  <c:v>1273</c:v>
                </c:pt>
              </c:numCache>
            </c:numRef>
          </c:val>
          <c:extLst>
            <c:ext xmlns:c16="http://schemas.microsoft.com/office/drawing/2014/chart" uri="{C3380CC4-5D6E-409C-BE32-E72D297353CC}">
              <c16:uniqueId val="{00000001-7A4B-4051-8A7E-4D73EDC224EE}"/>
            </c:ext>
          </c:extLst>
        </c:ser>
        <c:dLbls>
          <c:showLegendKey val="0"/>
          <c:showVal val="0"/>
          <c:showCatName val="0"/>
          <c:showSerName val="0"/>
          <c:showPercent val="0"/>
          <c:showBubbleSize val="0"/>
        </c:dLbls>
        <c:gapWidth val="150"/>
        <c:axId val="1826476496"/>
        <c:axId val="1826452368"/>
      </c:barChart>
      <c:catAx>
        <c:axId val="1826476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826452368"/>
        <c:crosses val="autoZero"/>
        <c:auto val="1"/>
        <c:lblAlgn val="ctr"/>
        <c:lblOffset val="100"/>
        <c:noMultiLvlLbl val="0"/>
      </c:catAx>
      <c:valAx>
        <c:axId val="1826452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r>
                  <a:rPr lang="en-US"/>
                  <a:t>Headcount differnece from 2014</a:t>
                </a:r>
              </a:p>
            </c:rich>
          </c:tx>
          <c:layout>
            <c:manualLayout>
              <c:xMode val="edge"/>
              <c:yMode val="edge"/>
              <c:x val="2.1337122617144631E-2"/>
              <c:y val="7.6987940068555971E-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title>
        <c:numFmt formatCode="#,##0.0,\ &quot;K&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826476496"/>
        <c:crosses val="autoZero"/>
        <c:crossBetween val="between"/>
        <c:majorUnit val="200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Black" panose="020B0A040201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pivotSource>
    <c:name>[Data Analysis - Data Sheets.xlsx]Q2!PivotTable1</c:name>
    <c:fmtId val="-1"/>
  </c:pivotSource>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r>
              <a:rPr lang="en-US" sz="1080"/>
              <a:t>CURRENT (2018)</a:t>
            </a:r>
            <a:r>
              <a:rPr lang="en-US" sz="1080" baseline="0"/>
              <a:t> PART-TIME REPRESENTATION PER CLUSTER</a:t>
            </a:r>
            <a:endParaRPr lang="en-US" sz="1080"/>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dLbl>
          <c:idx val="0"/>
          <c:layout>
            <c:manualLayout>
              <c:x val="1.1150935707282619E-2"/>
              <c:y val="-9.634519633806904E-17"/>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tint val="77000"/>
            </a:schemeClr>
          </a:solidFill>
          <a:ln>
            <a:noFill/>
          </a:ln>
          <a:effectLst/>
        </c:spPr>
        <c:dLbl>
          <c:idx val="0"/>
          <c:layout>
            <c:manualLayout>
              <c:x val="1.1150935707282619E-2"/>
              <c:y val="-9.634519633806904E-17"/>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2">
              <a:tint val="77000"/>
            </a:schemeClr>
          </a:solidFill>
          <a:ln>
            <a:noFill/>
          </a:ln>
          <a:effectLst/>
        </c:spPr>
        <c:dLbl>
          <c:idx val="0"/>
          <c:layout>
            <c:manualLayout>
              <c:x val="1.1150935707282619E-2"/>
              <c:y val="-9.634519633806904E-17"/>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'Q2'!$M$3:$M$4</c:f>
              <c:strCache>
                <c:ptCount val="1"/>
                <c:pt idx="0">
                  <c:v>Part-Time</c:v>
                </c:pt>
              </c:strCache>
            </c:strRef>
          </c:tx>
          <c:spPr>
            <a:solidFill>
              <a:schemeClr val="accent2">
                <a:tint val="77000"/>
              </a:schemeClr>
            </a:solidFill>
            <a:ln>
              <a:noFill/>
            </a:ln>
            <a:effectLst/>
          </c:spPr>
          <c:invertIfNegative val="0"/>
          <c:dPt>
            <c:idx val="0"/>
            <c:invertIfNegative val="0"/>
            <c:bubble3D val="0"/>
            <c:spPr>
              <a:solidFill>
                <a:schemeClr val="accent2">
                  <a:tint val="77000"/>
                </a:schemeClr>
              </a:solidFill>
              <a:ln>
                <a:noFill/>
              </a:ln>
              <a:effectLst/>
            </c:spPr>
            <c:extLst>
              <c:ext xmlns:c16="http://schemas.microsoft.com/office/drawing/2014/chart" uri="{C3380CC4-5D6E-409C-BE32-E72D297353CC}">
                <c16:uniqueId val="{00000001-5912-42E1-A533-F256FFA43BE8}"/>
              </c:ext>
            </c:extLst>
          </c:dPt>
          <c:dLbls>
            <c:dLbl>
              <c:idx val="0"/>
              <c:layout>
                <c:manualLayout>
                  <c:x val="2.0014271980682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912-42E1-A533-F256FFA43BE8}"/>
                </c:ext>
              </c:extLst>
            </c:dLbl>
            <c:dLbl>
              <c:idx val="1"/>
              <c:layout>
                <c:manualLayout>
                  <c:x val="1.3294925769997783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912-42E1-A533-F256FFA43BE8}"/>
                </c:ext>
              </c:extLst>
            </c:dLbl>
            <c:dLbl>
              <c:idx val="2"/>
              <c:layout>
                <c:manualLayout>
                  <c:x val="1.5510746731664082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912-42E1-A533-F256FFA43BE8}"/>
                </c:ext>
              </c:extLst>
            </c:dLbl>
            <c:dLbl>
              <c:idx val="3"/>
              <c:layout>
                <c:manualLayout>
                  <c:x val="8.8632838466651889E-3"/>
                  <c:y val="-7.3789984091562846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912-42E1-A533-F256FFA43BE8}"/>
                </c:ext>
              </c:extLst>
            </c:dLbl>
            <c:dLbl>
              <c:idx val="4"/>
              <c:layout>
                <c:manualLayout>
                  <c:x val="6.6474628849988917E-3"/>
                  <c:y val="-7.3789984091562846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912-42E1-A533-F256FFA43BE8}"/>
                </c:ext>
              </c:extLst>
            </c:dLbl>
            <c:dLbl>
              <c:idx val="5"/>
              <c:layout>
                <c:manualLayout>
                  <c:x val="4.431641923332594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912-42E1-A533-F256FFA43BE8}"/>
                </c:ext>
              </c:extLst>
            </c:dLbl>
            <c:dLbl>
              <c:idx val="6"/>
              <c:layout>
                <c:manualLayout>
                  <c:x val="4.431641923332594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912-42E1-A533-F256FFA43BE8}"/>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'Q2'!$L$5:$L$15</c:f>
              <c:strCache>
                <c:ptCount val="10"/>
                <c:pt idx="0">
                  <c:v>Industry</c:v>
                </c:pt>
                <c:pt idx="1">
                  <c:v>Treasury</c:v>
                </c:pt>
                <c:pt idx="2">
                  <c:v>Justice</c:v>
                </c:pt>
                <c:pt idx="3">
                  <c:v>Premier &amp; Cabinet</c:v>
                </c:pt>
                <c:pt idx="4">
                  <c:v>Family &amp; Community Services</c:v>
                </c:pt>
                <c:pt idx="5">
                  <c:v>Planning &amp; Environment</c:v>
                </c:pt>
                <c:pt idx="6">
                  <c:v>Transport</c:v>
                </c:pt>
                <c:pt idx="7">
                  <c:v>Finance, Services &amp; Innovation</c:v>
                </c:pt>
                <c:pt idx="8">
                  <c:v>Health</c:v>
                </c:pt>
                <c:pt idx="9">
                  <c:v>Education</c:v>
                </c:pt>
              </c:strCache>
            </c:strRef>
          </c:cat>
          <c:val>
            <c:numRef>
              <c:f>'Q2'!$M$5:$M$15</c:f>
              <c:numCache>
                <c:formatCode>0.00%</c:formatCode>
                <c:ptCount val="10"/>
                <c:pt idx="0">
                  <c:v>6.6628421570234395E-2</c:v>
                </c:pt>
                <c:pt idx="1">
                  <c:v>9.7432521395655031E-2</c:v>
                </c:pt>
                <c:pt idx="2">
                  <c:v>0.10570971409322498</c:v>
                </c:pt>
                <c:pt idx="3">
                  <c:v>0.12918149466192172</c:v>
                </c:pt>
                <c:pt idx="4">
                  <c:v>0.14162607718246534</c:v>
                </c:pt>
                <c:pt idx="5">
                  <c:v>0.14186535123778204</c:v>
                </c:pt>
                <c:pt idx="6">
                  <c:v>0.14228148342288036</c:v>
                </c:pt>
                <c:pt idx="7">
                  <c:v>0.24160601080065744</c:v>
                </c:pt>
                <c:pt idx="8">
                  <c:v>0.33148340532560555</c:v>
                </c:pt>
                <c:pt idx="9">
                  <c:v>0.44202150220369929</c:v>
                </c:pt>
              </c:numCache>
            </c:numRef>
          </c:val>
          <c:extLst>
            <c:ext xmlns:c16="http://schemas.microsoft.com/office/drawing/2014/chart" uri="{C3380CC4-5D6E-409C-BE32-E72D297353CC}">
              <c16:uniqueId val="{00000002-5912-42E1-A533-F256FFA43BE8}"/>
            </c:ext>
          </c:extLst>
        </c:ser>
        <c:ser>
          <c:idx val="1"/>
          <c:order val="1"/>
          <c:tx>
            <c:strRef>
              <c:f>'Q2'!$N$3:$N$4</c:f>
              <c:strCache>
                <c:ptCount val="1"/>
                <c:pt idx="0">
                  <c:v>Full-Time</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'Q2'!$L$5:$L$15</c:f>
              <c:strCache>
                <c:ptCount val="10"/>
                <c:pt idx="0">
                  <c:v>Industry</c:v>
                </c:pt>
                <c:pt idx="1">
                  <c:v>Treasury</c:v>
                </c:pt>
                <c:pt idx="2">
                  <c:v>Justice</c:v>
                </c:pt>
                <c:pt idx="3">
                  <c:v>Premier &amp; Cabinet</c:v>
                </c:pt>
                <c:pt idx="4">
                  <c:v>Family &amp; Community Services</c:v>
                </c:pt>
                <c:pt idx="5">
                  <c:v>Planning &amp; Environment</c:v>
                </c:pt>
                <c:pt idx="6">
                  <c:v>Transport</c:v>
                </c:pt>
                <c:pt idx="7">
                  <c:v>Finance, Services &amp; Innovation</c:v>
                </c:pt>
                <c:pt idx="8">
                  <c:v>Health</c:v>
                </c:pt>
                <c:pt idx="9">
                  <c:v>Education</c:v>
                </c:pt>
              </c:strCache>
            </c:strRef>
          </c:cat>
          <c:val>
            <c:numRef>
              <c:f>'Q2'!$N$5:$N$15</c:f>
              <c:numCache>
                <c:formatCode>0.00%</c:formatCode>
                <c:ptCount val="10"/>
                <c:pt idx="0">
                  <c:v>0.93337157842976559</c:v>
                </c:pt>
                <c:pt idx="1">
                  <c:v>0.90256747860434494</c:v>
                </c:pt>
                <c:pt idx="2">
                  <c:v>0.89429028590677506</c:v>
                </c:pt>
                <c:pt idx="3">
                  <c:v>0.87081850533807825</c:v>
                </c:pt>
                <c:pt idx="4">
                  <c:v>0.85837392281753466</c:v>
                </c:pt>
                <c:pt idx="5">
                  <c:v>0.85813464876221801</c:v>
                </c:pt>
                <c:pt idx="6">
                  <c:v>0.85771851657711962</c:v>
                </c:pt>
                <c:pt idx="7">
                  <c:v>0.75839398919934253</c:v>
                </c:pt>
                <c:pt idx="8">
                  <c:v>0.66851659467439439</c:v>
                </c:pt>
                <c:pt idx="9">
                  <c:v>0.55797849779630071</c:v>
                </c:pt>
              </c:numCache>
            </c:numRef>
          </c:val>
          <c:extLst>
            <c:ext xmlns:c16="http://schemas.microsoft.com/office/drawing/2014/chart" uri="{C3380CC4-5D6E-409C-BE32-E72D297353CC}">
              <c16:uniqueId val="{00000003-5912-42E1-A533-F256FFA43BE8}"/>
            </c:ext>
          </c:extLst>
        </c:ser>
        <c:dLbls>
          <c:showLegendKey val="0"/>
          <c:showVal val="0"/>
          <c:showCatName val="0"/>
          <c:showSerName val="0"/>
          <c:showPercent val="0"/>
          <c:showBubbleSize val="0"/>
        </c:dLbls>
        <c:gapWidth val="50"/>
        <c:overlap val="100"/>
        <c:axId val="692180767"/>
        <c:axId val="692181599"/>
      </c:barChart>
      <c:catAx>
        <c:axId val="6921807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692181599"/>
        <c:crosses val="autoZero"/>
        <c:auto val="1"/>
        <c:lblAlgn val="ctr"/>
        <c:lblOffset val="100"/>
        <c:noMultiLvlLbl val="0"/>
      </c:catAx>
      <c:valAx>
        <c:axId val="692181599"/>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692180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Black" panose="020B0A04020102020204" pitchFamily="34" charset="0"/>
        </a:defRPr>
      </a:pPr>
      <a:endParaRPr lang="en-US"/>
    </a:p>
  </c:txPr>
  <c:externalData r:id="rId4">
    <c:autoUpdate val="0"/>
  </c:externalData>
  <c:extLst>
    <c:ext xmlns:c14="http://schemas.microsoft.com/office/drawing/2007/8/2/chart" uri="{781A3756-C4B2-4CAC-9D66-4F8BD8637D16}">
      <c14:pivotOptions>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pivotSource>
    <c:name>[Data Analysis - Data Sheets.xlsx]Q2!PivotTable2</c:name>
    <c:fmtId val="-1"/>
  </c:pivotSource>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r>
              <a:rPr lang="en-US" sz="1080"/>
              <a:t>PER</a:t>
            </a:r>
            <a:r>
              <a:rPr lang="en-US" sz="1080" baseline="0"/>
              <a:t> CLUSTER </a:t>
            </a:r>
            <a:r>
              <a:rPr lang="en-US" sz="1080"/>
              <a:t>PART</a:t>
            </a:r>
            <a:r>
              <a:rPr lang="en-US" sz="1080" baseline="0"/>
              <a:t>-TIME EMPLOYEES</a:t>
            </a:r>
            <a:endParaRPr lang="en-US" sz="1080"/>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'Q2'!$B$49:$B$50</c:f>
              <c:strCache>
                <c:ptCount val="1"/>
                <c:pt idx="0">
                  <c:v>Part-Time</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'Q2'!$A$51:$A$61</c:f>
              <c:strCache>
                <c:ptCount val="10"/>
                <c:pt idx="0">
                  <c:v>Treasury</c:v>
                </c:pt>
                <c:pt idx="1">
                  <c:v>Premier &amp; Cabinet</c:v>
                </c:pt>
                <c:pt idx="2">
                  <c:v>Industry</c:v>
                </c:pt>
                <c:pt idx="3">
                  <c:v>Family &amp; Community Services</c:v>
                </c:pt>
                <c:pt idx="4">
                  <c:v>Planning &amp; Environment</c:v>
                </c:pt>
                <c:pt idx="5">
                  <c:v>Finance, Services &amp; Innovation</c:v>
                </c:pt>
                <c:pt idx="6">
                  <c:v>Transport</c:v>
                </c:pt>
                <c:pt idx="7">
                  <c:v>Justice</c:v>
                </c:pt>
                <c:pt idx="8">
                  <c:v>Education</c:v>
                </c:pt>
                <c:pt idx="9">
                  <c:v>Health</c:v>
                </c:pt>
              </c:strCache>
            </c:strRef>
          </c:cat>
          <c:val>
            <c:numRef>
              <c:f>'Q2'!$B$51:$B$61</c:f>
              <c:numCache>
                <c:formatCode>0.0%</c:formatCode>
                <c:ptCount val="10"/>
                <c:pt idx="0">
                  <c:v>1.3184855233853007E-3</c:v>
                </c:pt>
                <c:pt idx="1">
                  <c:v>3.2338530066815144E-3</c:v>
                </c:pt>
                <c:pt idx="2">
                  <c:v>7.2427616926503341E-3</c:v>
                </c:pt>
                <c:pt idx="3">
                  <c:v>1.3469933184855233E-2</c:v>
                </c:pt>
                <c:pt idx="4">
                  <c:v>1.3835189309576838E-2</c:v>
                </c:pt>
                <c:pt idx="5">
                  <c:v>1.8334075723830737E-2</c:v>
                </c:pt>
                <c:pt idx="6">
                  <c:v>3.8690423162583518E-2</c:v>
                </c:pt>
                <c:pt idx="7">
                  <c:v>4.4730512249443209E-2</c:v>
                </c:pt>
                <c:pt idx="8">
                  <c:v>0.42707349665924277</c:v>
                </c:pt>
                <c:pt idx="9">
                  <c:v>0.43207126948775054</c:v>
                </c:pt>
              </c:numCache>
            </c:numRef>
          </c:val>
          <c:extLst>
            <c:ext xmlns:c16="http://schemas.microsoft.com/office/drawing/2014/chart" uri="{C3380CC4-5D6E-409C-BE32-E72D297353CC}">
              <c16:uniqueId val="{00000000-80BC-4EBA-A446-CBB56B247F86}"/>
            </c:ext>
          </c:extLst>
        </c:ser>
        <c:dLbls>
          <c:showLegendKey val="0"/>
          <c:showVal val="1"/>
          <c:showCatName val="0"/>
          <c:showSerName val="0"/>
          <c:showPercent val="0"/>
          <c:showBubbleSize val="0"/>
        </c:dLbls>
        <c:gapWidth val="150"/>
        <c:overlap val="-25"/>
        <c:axId val="1102458960"/>
        <c:axId val="1102456048"/>
      </c:barChart>
      <c:catAx>
        <c:axId val="110245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102456048"/>
        <c:crosses val="autoZero"/>
        <c:auto val="1"/>
        <c:lblAlgn val="ctr"/>
        <c:lblOffset val="100"/>
        <c:noMultiLvlLbl val="0"/>
      </c:catAx>
      <c:valAx>
        <c:axId val="1102456048"/>
        <c:scaling>
          <c:orientation val="minMax"/>
        </c:scaling>
        <c:delete val="1"/>
        <c:axPos val="l"/>
        <c:numFmt formatCode="0%" sourceLinked="0"/>
        <c:majorTickMark val="none"/>
        <c:minorTickMark val="none"/>
        <c:tickLblPos val="nextTo"/>
        <c:crossAx val="1102458960"/>
        <c:crosses val="autoZero"/>
        <c:crossBetween val="between"/>
        <c:maj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Black" panose="020B0A04020102020204" pitchFamily="34" charset="0"/>
        </a:defRPr>
      </a:pPr>
      <a:endParaRPr lang="en-US"/>
    </a:p>
  </c:txPr>
  <c:externalData r:id="rId4">
    <c:autoUpdate val="0"/>
  </c:externalData>
  <c:extLst>
    <c:ext xmlns:c14="http://schemas.microsoft.com/office/drawing/2007/8/2/chart" uri="{781A3756-C4B2-4CAC-9D66-4F8BD8637D16}">
      <c14:pivotOptions>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pivotSource>
    <c:name>[Data Analysis - Data Sheets.xlsx]Q3!PivotTable3</c:name>
    <c:fmtId val="-1"/>
  </c:pivotSource>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r>
              <a:rPr lang="en-US" sz="1080"/>
              <a:t>CURRENT REPRESENTATION OF MALE AND FEMALE PART-TIME EMPLOYEES AS A PROPORTION TO THE RESPECTIVE MALE AND THE FEMALE WORKFORCE IN EACH CLUSTER</a:t>
            </a:r>
          </a:p>
        </c:rich>
      </c:tx>
      <c:layout>
        <c:manualLayout>
          <c:xMode val="edge"/>
          <c:yMode val="edge"/>
          <c:x val="0.14232322721237509"/>
          <c:y val="4.140306469829623E-2"/>
        </c:manualLayout>
      </c:layout>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inBase"/>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overflow" horzOverflow="overflow" vert="horz" wrap="non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inBase"/>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tint val="77000"/>
            </a:schemeClr>
          </a:solidFill>
          <a:ln>
            <a:noFill/>
          </a:ln>
          <a:effectLst/>
        </c:spPr>
      </c:pivotFmt>
      <c:pivotFmt>
        <c:idx val="6"/>
        <c:spPr>
          <a:solidFill>
            <a:schemeClr val="accent2">
              <a:tint val="77000"/>
            </a:schemeClr>
          </a:solidFill>
          <a:ln>
            <a:noFill/>
          </a:ln>
          <a:effectLst/>
        </c:spPr>
      </c:pivotFmt>
      <c:pivotFmt>
        <c:idx val="7"/>
        <c:spPr>
          <a:solidFill>
            <a:schemeClr val="accent2">
              <a:tint val="77000"/>
            </a:schemeClr>
          </a:solidFill>
          <a:ln>
            <a:noFill/>
          </a:ln>
          <a:effectLst/>
        </c:spPr>
      </c:pivotFmt>
      <c:pivotFmt>
        <c:idx val="8"/>
        <c:spPr>
          <a:solidFill>
            <a:schemeClr val="accent2">
              <a:tint val="77000"/>
            </a:schemeClr>
          </a:solidFill>
          <a:ln>
            <a:noFill/>
          </a:ln>
          <a:effectLst/>
        </c:spPr>
      </c:pivotFmt>
      <c:pivotFmt>
        <c:idx val="9"/>
        <c:spPr>
          <a:solidFill>
            <a:schemeClr val="accent2">
              <a:tint val="77000"/>
            </a:schemeClr>
          </a:solidFill>
          <a:ln>
            <a:noFill/>
          </a:ln>
          <a:effectLst/>
        </c:spPr>
      </c:pivotFmt>
      <c:pivotFmt>
        <c:idx val="10"/>
        <c:spPr>
          <a:solidFill>
            <a:schemeClr val="accent2">
              <a:tint val="77000"/>
            </a:schemeClr>
          </a:solidFill>
          <a:ln>
            <a:noFill/>
          </a:ln>
          <a:effectLst/>
        </c:spPr>
      </c:pivotFmt>
      <c:pivotFmt>
        <c:idx val="11"/>
        <c:spPr>
          <a:solidFill>
            <a:schemeClr val="accent2">
              <a:tint val="77000"/>
            </a:schemeClr>
          </a:solidFill>
          <a:ln>
            <a:noFill/>
          </a:ln>
          <a:effectLst/>
        </c:spPr>
      </c:pivotFmt>
      <c:pivotFmt>
        <c:idx val="12"/>
        <c:spPr>
          <a:solidFill>
            <a:schemeClr val="accent2">
              <a:tint val="77000"/>
            </a:schemeClr>
          </a:solidFill>
          <a:ln>
            <a:noFill/>
          </a:ln>
          <a:effectLst/>
        </c:spPr>
      </c:pivotFmt>
      <c:pivotFmt>
        <c:idx val="13"/>
        <c:spPr>
          <a:solidFill>
            <a:schemeClr val="accent2">
              <a:tint val="77000"/>
            </a:schemeClr>
          </a:solidFill>
          <a:ln>
            <a:noFill/>
          </a:ln>
          <a:effectLst/>
        </c:spPr>
      </c:pivotFmt>
      <c:pivotFmt>
        <c:idx val="14"/>
        <c:spPr>
          <a:solidFill>
            <a:schemeClr val="accent2">
              <a:tint val="77000"/>
            </a:schemeClr>
          </a:solidFill>
          <a:ln>
            <a:noFill/>
          </a:ln>
          <a:effectLst/>
        </c:spPr>
      </c:pivotFmt>
      <c:pivotFmt>
        <c:idx val="15"/>
        <c:spPr>
          <a:solidFill>
            <a:schemeClr val="accent2">
              <a:tint val="77000"/>
            </a:schemeClr>
          </a:solidFill>
          <a:ln>
            <a:noFill/>
          </a:ln>
          <a:effectLst/>
        </c:spPr>
      </c:pivotFmt>
      <c:pivotFmt>
        <c:idx val="16"/>
        <c:spPr>
          <a:solidFill>
            <a:schemeClr val="accent2">
              <a:tint val="77000"/>
            </a:schemeClr>
          </a:solidFill>
          <a:ln>
            <a:noFill/>
          </a:ln>
          <a:effectLst/>
        </c:spPr>
      </c:pivotFmt>
      <c:pivotFmt>
        <c:idx val="17"/>
        <c:spPr>
          <a:solidFill>
            <a:schemeClr val="accent2">
              <a:tint val="77000"/>
            </a:schemeClr>
          </a:solidFill>
          <a:ln>
            <a:noFill/>
          </a:ln>
          <a:effectLst/>
        </c:spPr>
      </c:pivotFmt>
      <c:pivotFmt>
        <c:idx val="18"/>
        <c:spPr>
          <a:solidFill>
            <a:schemeClr val="accent2">
              <a:tint val="77000"/>
            </a:schemeClr>
          </a:solidFill>
          <a:ln>
            <a:noFill/>
          </a:ln>
          <a:effectLst/>
        </c:spPr>
      </c:pivotFmt>
      <c:pivotFmt>
        <c:idx val="19"/>
        <c:spPr>
          <a:solidFill>
            <a:schemeClr val="accent2">
              <a:tint val="77000"/>
            </a:schemeClr>
          </a:solidFill>
          <a:ln>
            <a:noFill/>
          </a:ln>
          <a:effectLst/>
        </c:spPr>
      </c:pivotFmt>
      <c:pivotFmt>
        <c:idx val="20"/>
        <c:spPr>
          <a:solidFill>
            <a:schemeClr val="accent2">
              <a:tint val="77000"/>
            </a:schemeClr>
          </a:solidFill>
          <a:ln>
            <a:noFill/>
          </a:ln>
          <a:effectLst/>
        </c:spPr>
      </c:pivotFmt>
      <c:pivotFmt>
        <c:idx val="21"/>
        <c:spPr>
          <a:solidFill>
            <a:schemeClr val="accent2">
              <a:tint val="77000"/>
            </a:schemeClr>
          </a:solidFill>
          <a:ln>
            <a:noFill/>
          </a:ln>
          <a:effectLst/>
        </c:spPr>
      </c:pivotFmt>
      <c:pivotFmt>
        <c:idx val="22"/>
        <c:spPr>
          <a:solidFill>
            <a:schemeClr val="accent2">
              <a:tint val="77000"/>
            </a:schemeClr>
          </a:solidFill>
          <a:ln>
            <a:noFill/>
          </a:ln>
          <a:effectLst/>
        </c:spPr>
      </c:pivotFmt>
      <c:pivotFmt>
        <c:idx val="23"/>
        <c:spPr>
          <a:solidFill>
            <a:schemeClr val="accent2">
              <a:tint val="77000"/>
            </a:schemeClr>
          </a:solidFill>
          <a:ln>
            <a:noFill/>
          </a:ln>
          <a:effectLst/>
        </c:spPr>
      </c:pivotFmt>
      <c:pivotFmt>
        <c:idx val="24"/>
        <c:spPr>
          <a:solidFill>
            <a:schemeClr val="accent2">
              <a:tint val="77000"/>
            </a:schemeClr>
          </a:solidFill>
          <a:ln>
            <a:noFill/>
          </a:ln>
          <a:effectLst/>
        </c:spPr>
      </c:pivotFmt>
      <c:pivotFmt>
        <c:idx val="25"/>
        <c:spPr>
          <a:solidFill>
            <a:schemeClr val="accent2"/>
          </a:solidFill>
          <a:ln>
            <a:noFill/>
          </a:ln>
          <a:effectLst/>
        </c:spPr>
        <c:marker>
          <c:symbol val="none"/>
        </c:marker>
        <c:dLbl>
          <c:idx val="0"/>
          <c:spPr>
            <a:noFill/>
            <a:ln>
              <a:noFill/>
            </a:ln>
            <a:effectLst/>
          </c:spPr>
          <c:txPr>
            <a:bodyPr rot="0" spcFirstLastPara="1" vertOverflow="overflow" horzOverflow="overflow" vert="horz" wrap="non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inBase"/>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Lst>
        </c:dLbl>
      </c:pivotFmt>
      <c:pivotFmt>
        <c:idx val="2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2"/>
          </a:solidFill>
          <a:ln>
            <a:noFill/>
          </a:ln>
          <a:effectLst/>
        </c:spPr>
        <c:marker>
          <c:symbol val="none"/>
        </c:marker>
        <c:dLbl>
          <c:idx val="0"/>
          <c:spPr>
            <a:noFill/>
            <a:ln>
              <a:noFill/>
            </a:ln>
            <a:effectLst/>
          </c:spPr>
          <c:txPr>
            <a:bodyPr rot="0" spcFirstLastPara="1" vertOverflow="clip" horzOverflow="clip" vert="horz" wrap="square" lIns="36576" tIns="18288" rIns="36576" bIns="18288" anchor="ctr" anchorCtr="1">
              <a:spAutoFit/>
            </a:bodyPr>
            <a:lstStyle/>
            <a:p>
              <a:pPr>
                <a:defRPr sz="800" b="0" i="0" u="none" strike="noStrike" kern="1200" baseline="0">
                  <a:solidFill>
                    <a:schemeClr val="dk1">
                      <a:lumMod val="65000"/>
                      <a:lumOff val="35000"/>
                    </a:schemeClr>
                  </a:solidFill>
                  <a:latin typeface="Arial Black" panose="020B0A04020102020204" pitchFamily="34" charset="0"/>
                  <a:ea typeface="+mn-ea"/>
                  <a:cs typeface="+mn-cs"/>
                </a:defRPr>
              </a:pPr>
              <a:endParaRPr lang="en-US"/>
            </a:p>
          </c:txPr>
          <c:dLblPos val="inBase"/>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Lst>
        </c:dLbl>
      </c:pivotFmt>
      <c:pivotFmt>
        <c:idx val="28"/>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2"/>
          </a:solidFill>
          <a:ln>
            <a:noFill/>
          </a:ln>
          <a:effectLst/>
        </c:spPr>
        <c:marker>
          <c:symbol val="none"/>
        </c:marker>
        <c:dLbl>
          <c:idx val="0"/>
          <c:spPr>
            <a:noFill/>
            <a:ln>
              <a:noFill/>
            </a:ln>
            <a:effectLst/>
          </c:spPr>
          <c:txPr>
            <a:bodyPr rot="0" spcFirstLastPara="1" vertOverflow="clip" horzOverflow="clip" vert="horz" wrap="square" lIns="36576" tIns="18288" rIns="36576" bIns="18288" anchor="ctr" anchorCtr="1">
              <a:spAutoFit/>
            </a:bodyPr>
            <a:lstStyle/>
            <a:p>
              <a:pPr>
                <a:defRPr sz="800" b="0" i="0" u="none" strike="noStrike" kern="1200" baseline="0">
                  <a:solidFill>
                    <a:schemeClr val="dk1">
                      <a:lumMod val="65000"/>
                      <a:lumOff val="35000"/>
                    </a:schemeClr>
                  </a:solidFill>
                  <a:latin typeface="Arial Black" panose="020B0A04020102020204" pitchFamily="34" charset="0"/>
                  <a:ea typeface="+mn-ea"/>
                  <a:cs typeface="+mn-cs"/>
                </a:defRPr>
              </a:pPr>
              <a:endParaRPr lang="en-US"/>
            </a:p>
          </c:txPr>
          <c:dLblPos val="inBase"/>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Lst>
        </c:dLbl>
      </c:pivotFmt>
      <c:pivotFmt>
        <c:idx val="3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2"/>
          </a:solidFill>
          <a:ln>
            <a:noFill/>
          </a:ln>
          <a:effectLst/>
        </c:spPr>
        <c:marker>
          <c:symbol val="none"/>
        </c:marker>
        <c:dLbl>
          <c:idx val="0"/>
          <c:spPr>
            <a:noFill/>
            <a:ln>
              <a:noFill/>
            </a:ln>
            <a:effectLst/>
          </c:spPr>
          <c:txPr>
            <a:bodyPr rot="0" spcFirstLastPara="1" vertOverflow="clip" horzOverflow="clip" vert="horz" wrap="square" lIns="36576" tIns="18288" rIns="36576" bIns="18288" anchor="ctr" anchorCtr="1">
              <a:spAutoFit/>
            </a:bodyPr>
            <a:lstStyle/>
            <a:p>
              <a:pPr>
                <a:defRPr sz="800" b="0" i="0" u="none" strike="noStrike" kern="1200" baseline="0">
                  <a:solidFill>
                    <a:schemeClr val="dk1">
                      <a:lumMod val="65000"/>
                      <a:lumOff val="35000"/>
                    </a:schemeClr>
                  </a:solidFill>
                  <a:latin typeface="Arial Black" panose="020B0A04020102020204" pitchFamily="34" charset="0"/>
                  <a:ea typeface="+mn-ea"/>
                  <a:cs typeface="+mn-cs"/>
                </a:defRPr>
              </a:pPr>
              <a:endParaRPr lang="en-US"/>
            </a:p>
          </c:txPr>
          <c:dLblPos val="inBase"/>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Lst>
        </c:dLbl>
      </c:pivotFmt>
      <c:pivotFmt>
        <c:idx val="3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'Q3'!$I$3:$I$4</c:f>
              <c:strCache>
                <c:ptCount val="1"/>
                <c:pt idx="0">
                  <c:v>Part-Time</c:v>
                </c:pt>
              </c:strCache>
            </c:strRef>
          </c:tx>
          <c:spPr>
            <a:solidFill>
              <a:schemeClr val="accent2">
                <a:tint val="77000"/>
              </a:schemeClr>
            </a:solidFill>
            <a:ln>
              <a:noFill/>
            </a:ln>
            <a:effectLst/>
          </c:spPr>
          <c:invertIfNegative val="0"/>
          <c:dLbls>
            <c:spPr>
              <a:noFill/>
              <a:ln>
                <a:noFill/>
              </a:ln>
              <a:effectLst/>
            </c:spPr>
            <c:txPr>
              <a:bodyPr rot="0" spcFirstLastPara="1" vertOverflow="clip" horzOverflow="clip" vert="horz" wrap="square" lIns="36576" tIns="18288" rIns="36576" bIns="18288" anchor="ctr" anchorCtr="1">
                <a:spAutoFit/>
              </a:bodyPr>
              <a:lstStyle/>
              <a:p>
                <a:pPr>
                  <a:defRPr sz="800" b="0" i="0" u="none" strike="noStrike" kern="1200" baseline="0">
                    <a:solidFill>
                      <a:schemeClr val="dk1">
                        <a:lumMod val="65000"/>
                        <a:lumOff val="35000"/>
                      </a:schemeClr>
                    </a:solidFill>
                    <a:latin typeface="Arial Black" panose="020B0A04020102020204" pitchFamily="34" charset="0"/>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multiLvlStrRef>
              <c:f>'Q3'!$H$5:$H$27</c:f>
              <c:multiLvlStrCache>
                <c:ptCount val="20"/>
                <c:lvl>
                  <c:pt idx="0">
                    <c:v>Treasury</c:v>
                  </c:pt>
                  <c:pt idx="1">
                    <c:v>Industry</c:v>
                  </c:pt>
                  <c:pt idx="2">
                    <c:v>Premier &amp; Cabinet</c:v>
                  </c:pt>
                  <c:pt idx="3">
                    <c:v>Justice</c:v>
                  </c:pt>
                  <c:pt idx="4">
                    <c:v>Transport</c:v>
                  </c:pt>
                  <c:pt idx="5">
                    <c:v>Family &amp; Community Services</c:v>
                  </c:pt>
                  <c:pt idx="6">
                    <c:v>Planning &amp; Environment</c:v>
                  </c:pt>
                  <c:pt idx="7">
                    <c:v>Finance, Services &amp; Innovation</c:v>
                  </c:pt>
                  <c:pt idx="8">
                    <c:v>Health</c:v>
                  </c:pt>
                  <c:pt idx="9">
                    <c:v>Education</c:v>
                  </c:pt>
                  <c:pt idx="10">
                    <c:v>Treasury</c:v>
                  </c:pt>
                  <c:pt idx="11">
                    <c:v>Industry</c:v>
                  </c:pt>
                  <c:pt idx="12">
                    <c:v>Premier &amp; Cabinet</c:v>
                  </c:pt>
                  <c:pt idx="13">
                    <c:v>Justice</c:v>
                  </c:pt>
                  <c:pt idx="14">
                    <c:v>Transport</c:v>
                  </c:pt>
                  <c:pt idx="15">
                    <c:v>Family &amp; Community Services</c:v>
                  </c:pt>
                  <c:pt idx="16">
                    <c:v>Planning &amp; Environment</c:v>
                  </c:pt>
                  <c:pt idx="17">
                    <c:v>Finance, Services &amp; Innovation</c:v>
                  </c:pt>
                  <c:pt idx="18">
                    <c:v>Health</c:v>
                  </c:pt>
                  <c:pt idx="19">
                    <c:v>Education</c:v>
                  </c:pt>
                </c:lvl>
                <c:lvl>
                  <c:pt idx="0">
                    <c:v>Female</c:v>
                  </c:pt>
                  <c:pt idx="10">
                    <c:v>Male</c:v>
                  </c:pt>
                </c:lvl>
              </c:multiLvlStrCache>
            </c:multiLvlStrRef>
          </c:cat>
          <c:val>
            <c:numRef>
              <c:f>'Q3'!$I$5:$I$27</c:f>
              <c:numCache>
                <c:formatCode>0.00%</c:formatCode>
                <c:ptCount val="20"/>
                <c:pt idx="0">
                  <c:v>0.14130434782608695</c:v>
                </c:pt>
                <c:pt idx="1">
                  <c:v>0.17841284299214391</c:v>
                </c:pt>
                <c:pt idx="2">
                  <c:v>0.19085487077534791</c:v>
                </c:pt>
                <c:pt idx="3">
                  <c:v>0.19147773832286261</c:v>
                </c:pt>
                <c:pt idx="4">
                  <c:v>0.20036429872495445</c:v>
                </c:pt>
                <c:pt idx="5">
                  <c:v>0.23897952099965289</c:v>
                </c:pt>
                <c:pt idx="6">
                  <c:v>0.26117695986691619</c:v>
                </c:pt>
                <c:pt idx="7">
                  <c:v>0.27140924028610092</c:v>
                </c:pt>
                <c:pt idx="8">
                  <c:v>0.37151049453981111</c:v>
                </c:pt>
                <c:pt idx="9">
                  <c:v>0.47508708898248508</c:v>
                </c:pt>
                <c:pt idx="10">
                  <c:v>3.090909090909091E-2</c:v>
                </c:pt>
                <c:pt idx="11">
                  <c:v>4.5472945621373634E-2</c:v>
                </c:pt>
                <c:pt idx="12">
                  <c:v>6.39481000926784E-2</c:v>
                </c:pt>
                <c:pt idx="13">
                  <c:v>2.6538128249566726E-2</c:v>
                </c:pt>
                <c:pt idx="14">
                  <c:v>9.2597425191370916E-2</c:v>
                </c:pt>
                <c:pt idx="15">
                  <c:v>0.18345864661654135</c:v>
                </c:pt>
                <c:pt idx="16">
                  <c:v>5.4916766775356098E-2</c:v>
                </c:pt>
                <c:pt idx="17">
                  <c:v>0.13213751868460388</c:v>
                </c:pt>
                <c:pt idx="18">
                  <c:v>0.17893313464138863</c:v>
                </c:pt>
                <c:pt idx="19">
                  <c:v>0.30320687828531845</c:v>
                </c:pt>
              </c:numCache>
            </c:numRef>
          </c:val>
          <c:extLst>
            <c:ext xmlns:c16="http://schemas.microsoft.com/office/drawing/2014/chart" uri="{C3380CC4-5D6E-409C-BE32-E72D297353CC}">
              <c16:uniqueId val="{00000000-63CA-4030-972D-1292A7F28B41}"/>
            </c:ext>
          </c:extLst>
        </c:ser>
        <c:ser>
          <c:idx val="1"/>
          <c:order val="1"/>
          <c:tx>
            <c:strRef>
              <c:f>'Q3'!$J$3:$J$4</c:f>
              <c:strCache>
                <c:ptCount val="1"/>
                <c:pt idx="0">
                  <c:v>Full-Time</c:v>
                </c:pt>
              </c:strCache>
            </c:strRef>
          </c:tx>
          <c:spPr>
            <a:solidFill>
              <a:schemeClr val="accent2">
                <a:shade val="76000"/>
              </a:schemeClr>
            </a:solidFill>
            <a:ln>
              <a:noFill/>
            </a:ln>
            <a:effectLst/>
          </c:spPr>
          <c:invertIfNegative val="0"/>
          <c:cat>
            <c:multiLvlStrRef>
              <c:f>'Q3'!$H$5:$H$27</c:f>
              <c:multiLvlStrCache>
                <c:ptCount val="20"/>
                <c:lvl>
                  <c:pt idx="0">
                    <c:v>Treasury</c:v>
                  </c:pt>
                  <c:pt idx="1">
                    <c:v>Industry</c:v>
                  </c:pt>
                  <c:pt idx="2">
                    <c:v>Premier &amp; Cabinet</c:v>
                  </c:pt>
                  <c:pt idx="3">
                    <c:v>Justice</c:v>
                  </c:pt>
                  <c:pt idx="4">
                    <c:v>Transport</c:v>
                  </c:pt>
                  <c:pt idx="5">
                    <c:v>Family &amp; Community Services</c:v>
                  </c:pt>
                  <c:pt idx="6">
                    <c:v>Planning &amp; Environment</c:v>
                  </c:pt>
                  <c:pt idx="7">
                    <c:v>Finance, Services &amp; Innovation</c:v>
                  </c:pt>
                  <c:pt idx="8">
                    <c:v>Health</c:v>
                  </c:pt>
                  <c:pt idx="9">
                    <c:v>Education</c:v>
                  </c:pt>
                  <c:pt idx="10">
                    <c:v>Treasury</c:v>
                  </c:pt>
                  <c:pt idx="11">
                    <c:v>Industry</c:v>
                  </c:pt>
                  <c:pt idx="12">
                    <c:v>Premier &amp; Cabinet</c:v>
                  </c:pt>
                  <c:pt idx="13">
                    <c:v>Justice</c:v>
                  </c:pt>
                  <c:pt idx="14">
                    <c:v>Transport</c:v>
                  </c:pt>
                  <c:pt idx="15">
                    <c:v>Family &amp; Community Services</c:v>
                  </c:pt>
                  <c:pt idx="16">
                    <c:v>Planning &amp; Environment</c:v>
                  </c:pt>
                  <c:pt idx="17">
                    <c:v>Finance, Services &amp; Innovation</c:v>
                  </c:pt>
                  <c:pt idx="18">
                    <c:v>Health</c:v>
                  </c:pt>
                  <c:pt idx="19">
                    <c:v>Education</c:v>
                  </c:pt>
                </c:lvl>
                <c:lvl>
                  <c:pt idx="0">
                    <c:v>Female</c:v>
                  </c:pt>
                  <c:pt idx="10">
                    <c:v>Male</c:v>
                  </c:pt>
                </c:lvl>
              </c:multiLvlStrCache>
            </c:multiLvlStrRef>
          </c:cat>
          <c:val>
            <c:numRef>
              <c:f>'Q3'!$J$5:$J$27</c:f>
              <c:numCache>
                <c:formatCode>0.00%</c:formatCode>
                <c:ptCount val="20"/>
                <c:pt idx="0">
                  <c:v>0.85869565217391308</c:v>
                </c:pt>
                <c:pt idx="1">
                  <c:v>0.82158715700785612</c:v>
                </c:pt>
                <c:pt idx="2">
                  <c:v>0.80914512922465209</c:v>
                </c:pt>
                <c:pt idx="3">
                  <c:v>0.80852226167713737</c:v>
                </c:pt>
                <c:pt idx="4">
                  <c:v>0.79963570127504557</c:v>
                </c:pt>
                <c:pt idx="5">
                  <c:v>0.76102047900034708</c:v>
                </c:pt>
                <c:pt idx="6">
                  <c:v>0.73882304013308375</c:v>
                </c:pt>
                <c:pt idx="7">
                  <c:v>0.72859075971389908</c:v>
                </c:pt>
                <c:pt idx="8">
                  <c:v>0.62848950546018889</c:v>
                </c:pt>
                <c:pt idx="9">
                  <c:v>0.52491291101751492</c:v>
                </c:pt>
                <c:pt idx="10">
                  <c:v>0.96909090909090911</c:v>
                </c:pt>
                <c:pt idx="11">
                  <c:v>0.95452705437862639</c:v>
                </c:pt>
                <c:pt idx="12">
                  <c:v>0.93605189990732163</c:v>
                </c:pt>
                <c:pt idx="13">
                  <c:v>0.97346187175043331</c:v>
                </c:pt>
                <c:pt idx="14">
                  <c:v>0.90740257480862907</c:v>
                </c:pt>
                <c:pt idx="15">
                  <c:v>0.81654135338345868</c:v>
                </c:pt>
                <c:pt idx="16">
                  <c:v>0.94508323322464394</c:v>
                </c:pt>
                <c:pt idx="17">
                  <c:v>0.86786248131539612</c:v>
                </c:pt>
                <c:pt idx="18">
                  <c:v>0.8210668653586114</c:v>
                </c:pt>
                <c:pt idx="19">
                  <c:v>0.69679312171468155</c:v>
                </c:pt>
              </c:numCache>
            </c:numRef>
          </c:val>
          <c:extLst>
            <c:ext xmlns:c16="http://schemas.microsoft.com/office/drawing/2014/chart" uri="{C3380CC4-5D6E-409C-BE32-E72D297353CC}">
              <c16:uniqueId val="{00000001-63CA-4030-972D-1292A7F28B41}"/>
            </c:ext>
          </c:extLst>
        </c:ser>
        <c:dLbls>
          <c:showLegendKey val="0"/>
          <c:showVal val="0"/>
          <c:showCatName val="0"/>
          <c:showSerName val="0"/>
          <c:showPercent val="0"/>
          <c:showBubbleSize val="0"/>
        </c:dLbls>
        <c:gapWidth val="50"/>
        <c:overlap val="100"/>
        <c:axId val="1970136575"/>
        <c:axId val="1970118687"/>
      </c:barChart>
      <c:catAx>
        <c:axId val="197013657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6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970118687"/>
        <c:crosses val="autoZero"/>
        <c:auto val="1"/>
        <c:lblAlgn val="ctr"/>
        <c:lblOffset val="100"/>
        <c:noMultiLvlLbl val="0"/>
      </c:catAx>
      <c:valAx>
        <c:axId val="1970118687"/>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970136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rial Black" panose="020B0A04020102020204" pitchFamily="34" charset="0"/>
        </a:defRPr>
      </a:pPr>
      <a:endParaRPr lang="en-US"/>
    </a:p>
  </c:txPr>
  <c:externalData r:id="rId4">
    <c:autoUpdate val="0"/>
  </c:externalData>
  <c:extLst>
    <c:ext xmlns:c14="http://schemas.microsoft.com/office/drawing/2007/8/2/chart" uri="{781A3756-C4B2-4CAC-9D66-4F8BD8637D16}">
      <c14:pivotOptions>
        <c14:dropZoneFilter val="1"/>
        <c14:dropZoneCatego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r>
              <a:rPr lang="en-US"/>
              <a:t>ANNUAL PART-TIME FEMALE EMPLOYMENT TREND - SECTOR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2"/>
              </a:solidFill>
              <a:ln w="9525">
                <a:no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bg2">
                    <a:lumMod val="50000"/>
                  </a:schemeClr>
                </a:solidFill>
                <a:prstDash val="sysDash"/>
              </a:ln>
              <a:effectLst/>
            </c:spPr>
            <c:trendlineType val="linear"/>
            <c:dispRSqr val="0"/>
            <c:dispEq val="0"/>
          </c:trendline>
          <c:xVal>
            <c:numRef>
              <c:f>'Q5'!$O$38:$O$48</c:f>
              <c:numCache>
                <c:formatCode>General</c:formatCode>
                <c:ptCount val="11"/>
                <c:pt idx="0">
                  <c:v>2014</c:v>
                </c:pt>
                <c:pt idx="1">
                  <c:v>2015</c:v>
                </c:pt>
                <c:pt idx="2">
                  <c:v>2016</c:v>
                </c:pt>
                <c:pt idx="3">
                  <c:v>2017</c:v>
                </c:pt>
                <c:pt idx="4">
                  <c:v>2018</c:v>
                </c:pt>
                <c:pt idx="5">
                  <c:v>2025</c:v>
                </c:pt>
              </c:numCache>
            </c:numRef>
          </c:xVal>
          <c:yVal>
            <c:numRef>
              <c:f>'Q5'!$P$38:$P$48</c:f>
              <c:numCache>
                <c:formatCode>0.0%</c:formatCode>
                <c:ptCount val="11"/>
                <c:pt idx="0">
                  <c:v>0.35944291924044841</c:v>
                </c:pt>
                <c:pt idx="1">
                  <c:v>0.37169447188002364</c:v>
                </c:pt>
                <c:pt idx="2">
                  <c:v>0.36359591848504447</c:v>
                </c:pt>
                <c:pt idx="3">
                  <c:v>0.36859126718103108</c:v>
                </c:pt>
                <c:pt idx="4">
                  <c:v>0.36665867367882005</c:v>
                </c:pt>
                <c:pt idx="5">
                  <c:v>0.37619212385304923</c:v>
                </c:pt>
              </c:numCache>
            </c:numRef>
          </c:yVal>
          <c:smooth val="0"/>
          <c:extLst>
            <c:ext xmlns:c16="http://schemas.microsoft.com/office/drawing/2014/chart" uri="{C3380CC4-5D6E-409C-BE32-E72D297353CC}">
              <c16:uniqueId val="{00000001-9B62-499F-B872-B8D408018F96}"/>
            </c:ext>
          </c:extLst>
        </c:ser>
        <c:dLbls>
          <c:dLblPos val="t"/>
          <c:showLegendKey val="0"/>
          <c:showVal val="1"/>
          <c:showCatName val="0"/>
          <c:showSerName val="0"/>
          <c:showPercent val="0"/>
          <c:showBubbleSize val="0"/>
        </c:dLbls>
        <c:axId val="838203999"/>
        <c:axId val="838218975"/>
      </c:scatterChart>
      <c:valAx>
        <c:axId val="8382039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838218975"/>
        <c:crosses val="autoZero"/>
        <c:crossBetween val="midCat"/>
      </c:valAx>
      <c:valAx>
        <c:axId val="838218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r>
                  <a:rPr lang="en-US"/>
                  <a:t>Female percentage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8382039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Black" panose="020B0A040201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r>
              <a:rPr lang="en-US"/>
              <a:t>ANNUAL PART-TIME MALE EMPLOYMENT TREND - SECTOR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2"/>
              </a:solidFill>
              <a:ln w="9525">
                <a:noFill/>
              </a:ln>
              <a:effectLst/>
            </c:spPr>
          </c:marker>
          <c:dLbls>
            <c:dLbl>
              <c:idx val="1"/>
              <c:layout>
                <c:manualLayout>
                  <c:x val="-5.6796035689449659E-2"/>
                  <c:y val="-0.1929320225504355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A55-4D0B-935E-2BA932E304FF}"/>
                </c:ext>
              </c:extLst>
            </c:dLbl>
            <c:dLbl>
              <c:idx val="3"/>
              <c:layout>
                <c:manualLayout>
                  <c:x val="-5.6796035689449659E-2"/>
                  <c:y val="-0.1469096688357742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A55-4D0B-935E-2BA932E304FF}"/>
                </c:ext>
              </c:extLst>
            </c:dLbl>
            <c:dLbl>
              <c:idx val="4"/>
              <c:layout>
                <c:manualLayout>
                  <c:x val="-3.5049025903295256E-2"/>
                  <c:y val="-7.458882728416343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A55-4D0B-935E-2BA932E304FF}"/>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bg2">
                    <a:lumMod val="50000"/>
                  </a:schemeClr>
                </a:solidFill>
                <a:prstDash val="sysDash"/>
              </a:ln>
              <a:effectLst/>
            </c:spPr>
            <c:trendlineType val="linear"/>
            <c:dispRSqr val="0"/>
            <c:dispEq val="0"/>
          </c:trendline>
          <c:xVal>
            <c:numRef>
              <c:f>'Q5'!$O$38:$O$48</c:f>
              <c:numCache>
                <c:formatCode>General</c:formatCode>
                <c:ptCount val="11"/>
                <c:pt idx="0">
                  <c:v>2014</c:v>
                </c:pt>
                <c:pt idx="1">
                  <c:v>2015</c:v>
                </c:pt>
                <c:pt idx="2">
                  <c:v>2016</c:v>
                </c:pt>
                <c:pt idx="3">
                  <c:v>2017</c:v>
                </c:pt>
                <c:pt idx="4">
                  <c:v>2018</c:v>
                </c:pt>
                <c:pt idx="5">
                  <c:v>2025</c:v>
                </c:pt>
              </c:numCache>
            </c:numRef>
          </c:xVal>
          <c:yVal>
            <c:numRef>
              <c:f>'Q5'!$Q$38:$Q$48</c:f>
              <c:numCache>
                <c:formatCode>0.0%</c:formatCode>
                <c:ptCount val="11"/>
                <c:pt idx="0">
                  <c:v>0.10170119686939082</c:v>
                </c:pt>
                <c:pt idx="1">
                  <c:v>0.10769091757902505</c:v>
                </c:pt>
                <c:pt idx="2">
                  <c:v>0.11064875540880788</c:v>
                </c:pt>
                <c:pt idx="3">
                  <c:v>0.13994374120956399</c:v>
                </c:pt>
                <c:pt idx="4">
                  <c:v>0.16515879500191138</c:v>
                </c:pt>
                <c:pt idx="5">
                  <c:v>0.26827989911975791</c:v>
                </c:pt>
              </c:numCache>
            </c:numRef>
          </c:yVal>
          <c:smooth val="0"/>
          <c:extLst>
            <c:ext xmlns:c16="http://schemas.microsoft.com/office/drawing/2014/chart" uri="{C3380CC4-5D6E-409C-BE32-E72D297353CC}">
              <c16:uniqueId val="{00000001-9A55-4D0B-935E-2BA932E304FF}"/>
            </c:ext>
          </c:extLst>
        </c:ser>
        <c:dLbls>
          <c:dLblPos val="t"/>
          <c:showLegendKey val="0"/>
          <c:showVal val="1"/>
          <c:showCatName val="0"/>
          <c:showSerName val="0"/>
          <c:showPercent val="0"/>
          <c:showBubbleSize val="0"/>
        </c:dLbls>
        <c:axId val="1740935247"/>
        <c:axId val="1740937327"/>
      </c:scatterChart>
      <c:valAx>
        <c:axId val="174093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740937327"/>
        <c:crosses val="autoZero"/>
        <c:crossBetween val="midCat"/>
      </c:valAx>
      <c:valAx>
        <c:axId val="174093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r>
                  <a:rPr lang="en-US"/>
                  <a:t>Male percentage</a:t>
                </a:r>
              </a:p>
            </c:rich>
          </c:tx>
          <c:layout>
            <c:manualLayout>
              <c:xMode val="edge"/>
              <c:yMode val="edge"/>
              <c:x val="2.1747009786154403E-2"/>
              <c:y val="0.2207780694079906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74093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Black" panose="020B0A0402010202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r>
              <a:rPr lang="en-US" sz="1080"/>
              <a:t>ANNUAL</a:t>
            </a:r>
            <a:r>
              <a:rPr lang="en-US" sz="1080" baseline="0"/>
              <a:t> PART-TIME EMPLOYMENT TREND - SECTOR</a:t>
            </a:r>
            <a:endParaRPr lang="en-US" sz="1080"/>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Arial Black" panose="020B0A04020102020204" pitchFamily="34"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2"/>
              </a:solidFill>
              <a:ln w="9525">
                <a:noFill/>
              </a:ln>
              <a:effectLst/>
            </c:spPr>
          </c:marker>
          <c:dLbls>
            <c:dLbl>
              <c:idx val="1"/>
              <c:layout>
                <c:manualLayout>
                  <c:x val="-5.3748558905653707E-2"/>
                  <c:y val="0.1339804131131807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9FE-4B62-A7E4-721649E27D7B}"/>
                </c:ext>
              </c:extLst>
            </c:dLbl>
            <c:dLbl>
              <c:idx val="3"/>
              <c:layout>
                <c:manualLayout>
                  <c:x val="-4.3813456941386136E-2"/>
                  <c:y val="0.1388455078849215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9FE-4B62-A7E4-721649E27D7B}"/>
                </c:ext>
              </c:extLst>
            </c:dLbl>
            <c:dLbl>
              <c:idx val="4"/>
              <c:layout>
                <c:manualLayout>
                  <c:x val="-3.3168445989146714E-2"/>
                  <c:y val="-7.209641283358918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9FE-4B62-A7E4-721649E27D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Black" panose="020B0A0402010202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bg2">
                    <a:lumMod val="50000"/>
                  </a:schemeClr>
                </a:solidFill>
                <a:prstDash val="sysDash"/>
              </a:ln>
              <a:effectLst/>
            </c:spPr>
            <c:trendlineType val="linear"/>
            <c:dispRSqr val="0"/>
            <c:dispEq val="0"/>
          </c:trendline>
          <c:xVal>
            <c:numRef>
              <c:f>'Q5'!$O$68:$O$73</c:f>
              <c:numCache>
                <c:formatCode>General</c:formatCode>
                <c:ptCount val="6"/>
                <c:pt idx="0">
                  <c:v>2014</c:v>
                </c:pt>
                <c:pt idx="1">
                  <c:v>2015</c:v>
                </c:pt>
                <c:pt idx="2">
                  <c:v>2016</c:v>
                </c:pt>
                <c:pt idx="3">
                  <c:v>2017</c:v>
                </c:pt>
                <c:pt idx="4">
                  <c:v>2018</c:v>
                </c:pt>
                <c:pt idx="5">
                  <c:v>2025</c:v>
                </c:pt>
              </c:numCache>
            </c:numRef>
          </c:xVal>
          <c:yVal>
            <c:numRef>
              <c:f>'Q5'!$P$68:$P$73</c:f>
              <c:numCache>
                <c:formatCode>0.0%</c:formatCode>
                <c:ptCount val="6"/>
                <c:pt idx="0">
                  <c:v>0.26668933143297985</c:v>
                </c:pt>
                <c:pt idx="1">
                  <c:v>0.27814465282947382</c:v>
                </c:pt>
                <c:pt idx="2">
                  <c:v>0.2742143859864094</c:v>
                </c:pt>
                <c:pt idx="3">
                  <c:v>0.28811970605349702</c:v>
                </c:pt>
                <c:pt idx="4">
                  <c:v>0.29581510567648767</c:v>
                </c:pt>
                <c:pt idx="5">
                  <c:v>0.34200057793570338</c:v>
                </c:pt>
              </c:numCache>
            </c:numRef>
          </c:yVal>
          <c:smooth val="0"/>
          <c:extLst>
            <c:ext xmlns:c16="http://schemas.microsoft.com/office/drawing/2014/chart" uri="{C3380CC4-5D6E-409C-BE32-E72D297353CC}">
              <c16:uniqueId val="{00000004-39FE-4B62-A7E4-721649E27D7B}"/>
            </c:ext>
          </c:extLst>
        </c:ser>
        <c:dLbls>
          <c:dLblPos val="t"/>
          <c:showLegendKey val="0"/>
          <c:showVal val="1"/>
          <c:showCatName val="0"/>
          <c:showSerName val="0"/>
          <c:showPercent val="0"/>
          <c:showBubbleSize val="0"/>
        </c:dLbls>
        <c:axId val="1740935247"/>
        <c:axId val="1740937327"/>
      </c:scatterChart>
      <c:valAx>
        <c:axId val="174093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Black" panose="020B0A04020102020204" pitchFamily="34" charset="0"/>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740937327"/>
        <c:crosses val="autoZero"/>
        <c:crossBetween val="midCat"/>
      </c:valAx>
      <c:valAx>
        <c:axId val="174093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Black" panose="020B0A04020102020204" pitchFamily="34" charset="0"/>
                    <a:ea typeface="+mn-ea"/>
                    <a:cs typeface="+mn-cs"/>
                  </a:defRPr>
                </a:pPr>
                <a:r>
                  <a:rPr lang="en-US"/>
                  <a:t>Part-time percentage</a:t>
                </a:r>
              </a:p>
            </c:rich>
          </c:tx>
          <c:layout>
            <c:manualLayout>
              <c:xMode val="edge"/>
              <c:yMode val="edge"/>
              <c:x val="1.2090436464756377E-2"/>
              <c:y val="0.140294859290624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Black" panose="020B0A04020102020204" pitchFamily="34" charset="0"/>
                <a:ea typeface="+mn-ea"/>
                <a:cs typeface="+mn-cs"/>
              </a:defRPr>
            </a:pPr>
            <a:endParaRPr lang="en-US"/>
          </a:p>
        </c:txPr>
        <c:crossAx val="174093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Black" panose="020B0A040201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colors4.xml><?xml version="1.0" encoding="utf-8"?>
<cs:colorStyle xmlns:cs="http://schemas.microsoft.com/office/drawing/2012/chartStyle" xmlns:a="http://schemas.openxmlformats.org/drawingml/2006/main" meth="withinLinearReversed" id="22">
  <a:schemeClr val="accent2"/>
</cs:colorStyle>
</file>

<file path=word/charts/colors5.xml><?xml version="1.0" encoding="utf-8"?>
<cs:colorStyle xmlns:cs="http://schemas.microsoft.com/office/drawing/2012/chartStyle" xmlns:a="http://schemas.openxmlformats.org/drawingml/2006/main" meth="withinLinearReversed" id="22">
  <a:schemeClr val="accent2"/>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A8A5E-E1B7-486B-99E3-8F6F1B4BD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5</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Waheed</dc:creator>
  <cp:keywords/>
  <dc:description/>
  <cp:lastModifiedBy>Waseem Waheed</cp:lastModifiedBy>
  <cp:revision>21</cp:revision>
  <dcterms:created xsi:type="dcterms:W3CDTF">2021-08-17T23:42:00Z</dcterms:created>
  <dcterms:modified xsi:type="dcterms:W3CDTF">2021-08-18T10:15:00Z</dcterms:modified>
</cp:coreProperties>
</file>