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03 — Ключевые сценарии ролей</w:t>
      </w:r>
    </w:p>
    <w:p>
      <w:pPr>
        <w:pStyle w:val="Heading2"/>
      </w:pPr>
      <w:r>
        <w:t>Сводная таблица по ролям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Основные процессы</w:t>
            </w:r>
          </w:p>
        </w:tc>
        <w:tc>
          <w:tcPr>
            <w:tcW w:type="dxa" w:w="2880"/>
          </w:tcPr>
          <w:p>
            <w:r>
              <w:t>Экранные формы</w:t>
            </w:r>
          </w:p>
        </w:tc>
      </w:tr>
      <w:tr>
        <w:tc>
          <w:tcPr>
            <w:tcW w:type="dxa" w:w="2880"/>
          </w:tcPr>
          <w:p>
            <w:r>
              <w:t>Менеджер</w:t>
            </w:r>
          </w:p>
        </w:tc>
        <w:tc>
          <w:tcPr>
            <w:tcW w:type="dxa" w:w="2880"/>
          </w:tcPr>
          <w:p>
            <w:r>
              <w:t>Регистрация клиента, расписание, перенос, оплата</w:t>
            </w:r>
          </w:p>
        </w:tc>
        <w:tc>
          <w:tcPr>
            <w:tcW w:type="dxa" w:w="2880"/>
          </w:tcPr>
          <w:p>
            <w:r>
              <w:t>Главная, регистрация, слоты, оплата</w:t>
            </w:r>
          </w:p>
        </w:tc>
      </w:tr>
      <w:tr>
        <w:tc>
          <w:tcPr>
            <w:tcW w:type="dxa" w:w="2880"/>
          </w:tcPr>
          <w:p>
            <w:r>
              <w:t>Мастер</w:t>
            </w:r>
          </w:p>
        </w:tc>
        <w:tc>
          <w:tcPr>
            <w:tcW w:type="dxa" w:w="2880"/>
          </w:tcPr>
          <w:p>
            <w:r>
              <w:t>Просмотр расписания, отзывы</w:t>
            </w:r>
          </w:p>
        </w:tc>
        <w:tc>
          <w:tcPr>
            <w:tcW w:type="dxa" w:w="2880"/>
          </w:tcPr>
          <w:p>
            <w:r>
              <w:t>Личный кабинет, расписание, отзывы</w:t>
            </w:r>
          </w:p>
        </w:tc>
      </w:tr>
      <w:tr>
        <w:tc>
          <w:tcPr>
            <w:tcW w:type="dxa" w:w="2880"/>
          </w:tcPr>
          <w:p>
            <w:r>
              <w:t>Клиент</w:t>
            </w:r>
          </w:p>
        </w:tc>
        <w:tc>
          <w:tcPr>
            <w:tcW w:type="dxa" w:w="2880"/>
          </w:tcPr>
          <w:p>
            <w:r>
              <w:t>Регистрация, запись, отзыв</w:t>
            </w:r>
          </w:p>
        </w:tc>
        <w:tc>
          <w:tcPr>
            <w:tcW w:type="dxa" w:w="2880"/>
          </w:tcPr>
          <w:p>
            <w:r>
              <w:t>Главная, регистрация, слоты, отзыв</w:t>
            </w:r>
          </w:p>
        </w:tc>
      </w:tr>
    </w:tbl>
    <w:p>
      <w:pPr>
        <w:pStyle w:val="Heading2"/>
      </w:pPr>
      <w:r>
        <w:t>Схемы процессов</w:t>
      </w:r>
    </w:p>
    <w:p>
      <w:r>
        <w:t>Менеджер — регистрация клиента:</w:t>
        <w:br/>
        <w:t>(Начало) → [Главная] → [Форма регистрации] → [Проверка] → [Подтверждение] → (Окончание)</w:t>
        <w:br/>
        <w:t>Отмена → Выход без сохранения</w:t>
      </w:r>
    </w:p>
    <w:p>
      <w:r>
        <w:t>Менеджер — расписание:</w:t>
        <w:br/>
        <w:t>(Начало) → [Список слотов] → [Добавить слот] → [Проверка] → [Сохранить] → (Окончание)</w:t>
        <w:br/>
        <w:t>Отмена → Выход без сохранения</w:t>
      </w:r>
    </w:p>
    <w:p>
      <w:r>
        <w:t>Мастер — расписание:</w:t>
        <w:br/>
        <w:t>(Начало) → [Вход] → [Мое расписание] → [Детали] → (Окончание)</w:t>
      </w:r>
    </w:p>
    <w:p>
      <w:r>
        <w:t>Клиент — запись:</w:t>
        <w:br/>
        <w:t>(Начало) → [Главная] → [Слоты] → [Услуги] → [Мастера] → [Подтверждение] → (Окончание)</w:t>
        <w:br/>
        <w:t>Отмена → Выход без сохранения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