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7"/>
        <w:gridCol w:w="2574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 or median (IQR)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 (50%)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Birth 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(35%)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Maternal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(20, 27)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Maternal 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150.3 (146.8, 154.1)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Mom has at least secondary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859 (58%)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in compound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(6, 14)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under 18 in compound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(1, 2)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water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915 (62%)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Improved 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(13%)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(6%)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(10%)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bike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(31%)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motorcycle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(7%)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sewing machine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(7%)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tv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(33%)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wardrobe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(21%)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1102 (75%)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chair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1103 (75%)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clock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 (88%)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Khat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942 (64%)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Chouki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(78%)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mobile 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 (88%)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cattle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(0, 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goats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chickens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9)</w:t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Food Insecurity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(29%)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2024-09-11T16:24:14Z</dcterms:modified>
  <cp:category/>
</cp:coreProperties>
</file>