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1: Association between Exposure to IPV and Child Immune Status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2"/>
        <w:gridCol w:w="1872"/>
        <w:gridCol w:w="432"/>
        <w:gridCol w:w="792"/>
        <w:gridCol w:w="792"/>
        <w:gridCol w:w="1152"/>
        <w:gridCol w:w="1152"/>
        <w:gridCol w:w="1440"/>
        <w:gridCol w:w="720"/>
      </w:tblGrid>
      <w:tr>
        <w:trPr>
          <w:trHeight w:val="360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Maternal Exposure to IPV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75th Percentile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Outcome, 75th Percentile v. 25th Percentile</w:t>
            </w:r>
          </w:p>
        </w:tc>
      </w:tr>
      <w:tr>
        <w:trPr>
          <w:trHeight w:val="360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Adjusted</w:t>
            </w:r>
          </w:p>
        </w:tc>
      </w:tr>
      <w:tr>
        <w:trPr>
          <w:trHeight w:val="360" w:hRule="auto"/>
          <w:tblHeader/>
        </w:trPr>
        header 3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Predicted Outcome at 25th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Predicted Outcome at 75th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Coefficient 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Exposure to IPV during pregnancy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Sum score of inflammation Year 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261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 (-0.29, 0.3)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0.97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Th1/Th2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 (-0.07, 0.21)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0.34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Th1/Th17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0.17 (0.02, 0.32)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Th1/IL-10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 (-0.06, 0.21)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0.31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Th2/IL-10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 (-0.16, 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Th17/IL-10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-0.09 (-0.28, 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GM-CSF/IL-10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-0.08 (-0.33, 0.17)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0.53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IL-2/IL-10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-0.16 (-0.53, 0.21)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IFN-y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 (-0.07, 0.24)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0.29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CRP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 (-0.44, 0.71)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0.66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AGP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 (-0.03, 0.24)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 (-0.17, 0.24)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0.75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Sum score of inflammation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-0.16 (-0.4, 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Th1/Th2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 (-0.01, 0.28)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Th1/Th17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 (-0.08, 0.17)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0.46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Th1/IL-10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 (-0.06, 0.23)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0.26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Th2/IL-10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 (-0.15, 0.17)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0.89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Th17/IL-10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 (-0.06, 0.26)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0.23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GM-CSF/IL-10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 (-0.15, 0.36)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0.44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IL-2/IL-10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-0.06 (-0.41, 0.29)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0.75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IFN-y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-0.06 (-0.23, 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0.47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CRP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-0.11 (-0.37, 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0.44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AGP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-0.01 (-0.01, -0.01)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0*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 (-0.08, 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0.53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Exposure to IPV during first year of child's life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Sum score of inflammation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 (-0.18, 0.33)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0.59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Th1/Th2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 (-0.11, 0.14)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0.83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Th1/Th17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 (-0.09, 0.19)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0.53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Th1/IL-10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 (-0.07, 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0.47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Th2/IL-10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 (-0.12, 0.18)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Th17/IL-10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-0.01 (-0.16, 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0.93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GM-CSF/IL-10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-0.02 (-0.24, 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0.87</w:t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IL-2/IL-10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-0.01 (-0.33, 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0.94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IFN-y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 (-0.07, 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0.35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CRP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 (-0.36, 0.55)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0.69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AGP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 (-0.09, 0.14)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0.72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 (-0.18, 0.18)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0.99</w:t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Sum score of inflammation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-0.04 (-0.24, 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</w:t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Th1/Th2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-0.12 (-0.24, 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0.06</w:t>
            </w:r>
          </w:p>
        </w:tc>
      </w:tr>
      <w:tr>
        <w:trPr>
          <w:trHeight w:val="36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Th1/Th17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 (-0.07, 0.14)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0.55</w:t>
            </w:r>
          </w:p>
        </w:tc>
      </w:tr>
      <w:tr>
        <w:trPr>
          <w:trHeight w:val="36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Th1/IL-10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-0.07 (-0.2, 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0.25</w:t>
            </w:r>
          </w:p>
        </w:tc>
      </w:tr>
      <w:tr>
        <w:trPr>
          <w:trHeight w:val="36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Th2/IL-10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 (-0.1, 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0.68</w:t>
            </w:r>
          </w:p>
        </w:tc>
      </w:tr>
      <w:tr>
        <w:trPr>
          <w:trHeight w:val="36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Th17/IL-10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-0.08 (-0.21, 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0.24</w:t>
            </w:r>
          </w:p>
        </w:tc>
      </w:tr>
      <w:tr>
        <w:trPr>
          <w:trHeight w:val="36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GM-CSF/IL-10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 (-0.18, 0.25)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0.76</w:t>
            </w:r>
          </w:p>
        </w:tc>
      </w:tr>
      <w:tr>
        <w:trPr>
          <w:trHeight w:val="36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IL-2/IL-10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0.22 (-0.06, 0.51)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</w:t>
            </w:r>
          </w:p>
        </w:tc>
      </w:tr>
      <w:tr>
        <w:trPr>
          <w:trHeight w:val="36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IFN-y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-0.11 (-0.25,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</w:t>
            </w:r>
          </w:p>
        </w:tc>
      </w:tr>
      <w:tr>
        <w:trPr>
          <w:trHeight w:val="36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CRP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-0.12 (-0.34, 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0.31</w:t>
            </w:r>
          </w:p>
        </w:tc>
      </w:tr>
      <w:tr>
        <w:trPr>
          <w:trHeight w:val="360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AGP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 (-0.09, 0.12)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0.81</w:t>
            </w:r>
          </w:p>
        </w:tc>
      </w:tr>
      <w:tr>
        <w:trPr>
          <w:trHeight w:val="360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 (-0.09, 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0.95</w:t>
            </w:r>
          </w:p>
        </w:tc>
      </w:tr>
      <w:tr>
        <w:trPr>
          <w:trHeight w:val="360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Cumulative lifetime exposure to IPV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Sum score of inflammation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 (-0.04, 0.12)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0.38</w:t>
            </w:r>
          </w:p>
        </w:tc>
      </w:tr>
      <w:tr>
        <w:trPr>
          <w:trHeight w:val="360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Th1/Th2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 (-0.07, 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0.78</w:t>
            </w:r>
          </w:p>
        </w:tc>
      </w:tr>
      <w:tr>
        <w:trPr>
          <w:trHeight w:val="360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Th1/Th17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0.06 (-0.02, 0.13)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0.16</w:t>
            </w:r>
          </w:p>
        </w:tc>
      </w:tr>
      <w:tr>
        <w:trPr>
          <w:trHeight w:val="360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Th1/IL-10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-0.02 (-0.06,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0.44</w:t>
            </w:r>
          </w:p>
        </w:tc>
      </w:tr>
      <w:tr>
        <w:trPr>
          <w:trHeight w:val="360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Th2/IL-10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-0.03 (-0.14, 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0.56</w:t>
            </w:r>
          </w:p>
        </w:tc>
      </w:tr>
      <w:tr>
        <w:trPr>
          <w:trHeight w:val="360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Th17/IL-10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-0.03 (-0.09,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0.22</w:t>
            </w:r>
          </w:p>
        </w:tc>
      </w:tr>
      <w:tr>
        <w:trPr>
          <w:trHeight w:val="360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GM-CSF/IL-10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 (-0.04, 0.26)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</w:t>
            </w:r>
          </w:p>
        </w:tc>
      </w:tr>
      <w:tr>
        <w:trPr>
          <w:trHeight w:val="360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IL-2/IL-10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-0.04 (-0.24, 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0.69</w:t>
            </w:r>
          </w:p>
        </w:tc>
      </w:tr>
      <w:tr>
        <w:trPr>
          <w:trHeight w:val="360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IFN-y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 (-0.05, 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0.33</w:t>
            </w:r>
          </w:p>
        </w:tc>
      </w:tr>
      <w:tr>
        <w:trPr>
          <w:trHeight w:val="360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CRP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-0.01 (-0.17, 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</w:t>
            </w:r>
          </w:p>
        </w:tc>
      </w:tr>
      <w:tr>
        <w:trPr>
          <w:trHeight w:val="360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AGP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 (-0.07, 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0.99</w:t>
            </w:r>
          </w:p>
        </w:tc>
      </w:tr>
      <w:tr>
        <w:trPr>
          <w:trHeight w:val="360" w:hRule="auto"/>
        </w:trPr>
        body62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Year 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671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3.93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-0.03 (-0.07, 0)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N, 25th Percentile, and 75th Percentile are from the adjusted analyses</w:t>
            </w:r>
          </w:p>
        </w:tc>
      </w:tr>
      <w:tr>
        <w:trPr>
          <w:trHeight w:val="360" w:hRule="auto"/>
        </w:trPr>
        footer 2
        <w:tc>
          <w:tcPr>
            <w:gridSpan w:val="9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* P-value &lt; 0.2 after adjusting for multiple comparisons using the Benjamini-Hochberg procedure</w:t>
            </w:r>
          </w:p>
        </w:tc>
      </w:tr>
    </w:tbl>
    <w:p>
      <w:pPr>
        <w:pStyle w:val="Titre2"/>
      </w:pPr>
      <w:r>
        <w:t xml:space="preserve">Table 2: Association between Parental Stress and Child Immune Status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872"/>
        <w:gridCol w:w="432"/>
        <w:gridCol w:w="792"/>
        <w:gridCol w:w="792"/>
        <w:gridCol w:w="1152"/>
        <w:gridCol w:w="1152"/>
        <w:gridCol w:w="1440"/>
        <w:gridCol w:w="720"/>
      </w:tblGrid>
      <w:tr>
        <w:trPr>
          <w:trHeight w:val="360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Parental Stress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75th Percentile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Outcome, 75th Percentile v. 25th Percentile</w:t>
            </w:r>
          </w:p>
        </w:tc>
      </w:tr>
      <w:tr>
        <w:trPr>
          <w:trHeight w:val="360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Adjusted</w:t>
            </w:r>
          </w:p>
        </w:tc>
      </w:tr>
      <w:tr>
        <w:trPr>
          <w:trHeight w:val="360" w:hRule="auto"/>
          <w:tblHeader/>
        </w:trPr>
        header 3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Predicted Outcome at 25th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Predicted Outcome at 75th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Coefficient 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Maternal stress score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Sum score of inflammation Year 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 (-0.06, 0.17)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0.36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Th1/Th2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-0.03 (-0.09,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0.31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Th1/Th17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 (-0.08, 0.14)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0.63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Th1/IL-10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-0.01 (-0.08, 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0.69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Th2/IL-10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 (-0.07, 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0.89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Th17/IL-10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 (-0.07, 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0.69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GM-CSF/IL-10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 (-0.12, 0.12)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IL-2/IL-10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-0.02 (-0.16, 0.13)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0.82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IFN-y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 (-0.07, 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0.98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CRP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-0.01 (-0.19, 0.17)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AGP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 (-0.04, 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0.75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-0.02 (-0.08,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0.52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Paternal stress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Sum score of inflammation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0.06 (-0.06, 0.18)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0.35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Th1/Th2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-0.03 (-0.08,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0.36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Th1/Th17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-0.03 (-0.09,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0.23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Th1/IL-10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 (-0.06, 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0.81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Th2/IL-10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 (-0.07, 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0.77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Th17/IL-10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 (-0.07, 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GM-CSF/IL-10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0.21 (-0.06, 0.48)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IL-2/IL-10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 (-0.11, 0.17)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0.69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IFN-y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-0.01 (-0.09, 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0.82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CRP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-0.06 (-0.18, 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0.33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AGP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 (-0.01, 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</w:t>
            </w:r>
          </w:p>
        </w:tc>
      </w:tr>
      <w:tr>
        <w:trPr>
          <w:trHeight w:val="360" w:hRule="auto"/>
        </w:trPr>
        body25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Year 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422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3.74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3.78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 (-0.01, 0.09)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N, 25th Percentile, and 75th Percentile are from the adjusted analyses</w:t>
            </w:r>
          </w:p>
        </w:tc>
      </w:tr>
      <w:tr>
        <w:trPr>
          <w:trHeight w:val="360" w:hRule="auto"/>
        </w:trPr>
        footer 2
        <w:tc>
          <w:tcPr>
            <w:gridSpan w:val="9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* P-value &lt; 0.2 after adjusting for multiple comparisons using the Benjamini-Hochberg procedure</w:t>
            </w:r>
          </w:p>
        </w:tc>
      </w:tr>
    </w:tbl>
    <w:p>
      <w:pPr>
        <w:pStyle w:val="Titre2"/>
      </w:pPr>
      <w:r>
        <w:t xml:space="preserve">Table 3: Association between CES-D Scores at Year 1 and Child Immune Status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2"/>
        <w:gridCol w:w="1872"/>
        <w:gridCol w:w="432"/>
        <w:gridCol w:w="792"/>
        <w:gridCol w:w="792"/>
        <w:gridCol w:w="1152"/>
        <w:gridCol w:w="1152"/>
        <w:gridCol w:w="1440"/>
        <w:gridCol w:w="720"/>
      </w:tblGrid>
      <w:tr>
        <w:trPr>
          <w:trHeight w:val="360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CES-D Year 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75th Percentile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Outcome, 75th Percentile v. 25th Percentile</w:t>
            </w:r>
          </w:p>
        </w:tc>
      </w:tr>
      <w:tr>
        <w:trPr>
          <w:trHeight w:val="360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Adjusted</w:t>
            </w:r>
          </w:p>
        </w:tc>
      </w:tr>
      <w:tr>
        <w:trPr>
          <w:trHeight w:val="360" w:hRule="auto"/>
          <w:tblHeader/>
        </w:trPr>
        header 3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Predicted Outcome at 25th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Predicted Outcome at 75th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Coefficient 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CES-D Score Year 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Sum score of inflammation Year 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582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 (-0.1, 0.1)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0.97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Th1/Th2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 (-0.05, 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0.93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Th1/Th17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 (0.01, 0.22)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Th1/IL-10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-0.02 (-0.07,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0.56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Th2/IL-10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-0.02 (-0.18, 0.13)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0.76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Th17/IL-10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-0.11 (-0.26,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0.15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GM-CSF/IL-10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 (-0.16, 0.35)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0.47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IL-2/IL-10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 (-0.02, 0.22)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IFN-y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-0.01 (-0.08, 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0.89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CRP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 (-0.02, 0.16)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0.13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AGP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 (-0.27, 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0.92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 (-0.06, 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0.29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Sum score of inflammation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0.06 (-0.3, 0.43)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0.76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Th1/Th2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 (-0.03, 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0.47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Th1/Th17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-0.03 (-0.13, 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0.61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Th1/IL-10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-0.01 (-0.04, 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0.29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Th2/IL-10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-0.02 (-0.05,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0.33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Th17/IL-10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 (-1.48, 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0.99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GM-CSF/IL-10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 (-0.09, 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0.94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IL-2/IL-10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-0.01 (-0.14, 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0.85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IFN-y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 (-0.05, 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CRP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 (0, 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0.06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AGP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 (0,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 (-0.06, 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0.61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Binary CES-D Score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Sum score of inflammation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-0.03 (-0.21, 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0.78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Th1/Th2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 (-0.05, 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Th1/Th17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-0.01 (-0.1, 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Th1/IL-10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-0.01 (-0.11, 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0.81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Th2/IL-10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-0.06 (-0.18, 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Th17/IL-10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-0.01 (-0.14, 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0.84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GM-CSF/IL-10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 (-0.14, 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0.74</w:t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IL-2/IL-10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 (-0.12, 0.31)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IFN-y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0.02 (-0.08, 0.11)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0.73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CRP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 (-0.11, 0.51)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AGP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 (-0.02, 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0.11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Year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-0.09 (-0.2, 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</w:t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Sum score of inflammation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-0.35 (-0.66, -0.04)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</w:t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Th1/Th2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0.04 (-0.05, 0.13)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0.42</w:t>
            </w:r>
          </w:p>
        </w:tc>
      </w:tr>
      <w:tr>
        <w:trPr>
          <w:trHeight w:val="36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Th1/Th17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0.06 (-0.03, 0.15)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0.17</w:t>
            </w:r>
          </w:p>
        </w:tc>
      </w:tr>
      <w:tr>
        <w:trPr>
          <w:trHeight w:val="36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Th1/IL-10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 (-0.15, 0.18)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0.87</w:t>
            </w:r>
          </w:p>
        </w:tc>
      </w:tr>
      <w:tr>
        <w:trPr>
          <w:trHeight w:val="36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Th2/IL-10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-0.03 (-0.14, 0.08)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0.65</w:t>
            </w:r>
          </w:p>
        </w:tc>
      </w:tr>
      <w:tr>
        <w:trPr>
          <w:trHeight w:val="36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Th17/IL-10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 (-0.35, 0.37)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0.96</w:t>
            </w:r>
          </w:p>
        </w:tc>
      </w:tr>
      <w:tr>
        <w:trPr>
          <w:trHeight w:val="36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GM-CSF/IL-10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-0.03 (-0.2, 0.14)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0.74</w:t>
            </w:r>
          </w:p>
        </w:tc>
      </w:tr>
      <w:tr>
        <w:trPr>
          <w:trHeight w:val="36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IL-2/IL-10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-0.14 (-0.36, 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0.23</w:t>
            </w:r>
          </w:p>
        </w:tc>
      </w:tr>
      <w:tr>
        <w:trPr>
          <w:trHeight w:val="36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IFN-y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-0.02 (-0.14, 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0.71</w:t>
            </w:r>
          </w:p>
        </w:tc>
      </w:tr>
      <w:tr>
        <w:trPr>
          <w:trHeight w:val="36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CRP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-0.51 (-1.01, -0.01)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0.05</w:t>
            </w:r>
          </w:p>
        </w:tc>
      </w:tr>
      <w:tr>
        <w:trPr>
          <w:trHeight w:val="360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AGP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0.06 (-0.08, 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0.43</w:t>
            </w:r>
          </w:p>
        </w:tc>
      </w:tr>
      <w:tr>
        <w:trPr>
          <w:trHeight w:val="360" w:hRule="auto"/>
        </w:trPr>
        body49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Year 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661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3.88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3.88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 (-0.08, 0.08)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0.95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N, 25th Percentile, and 75th Percentile are from the adjusted analyses</w:t>
            </w:r>
          </w:p>
        </w:tc>
      </w:tr>
      <w:tr>
        <w:trPr>
          <w:trHeight w:val="360" w:hRule="auto"/>
        </w:trPr>
        footer 2
        <w:tc>
          <w:tcPr>
            <w:gridSpan w:val="9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* P-value &lt; 0.2 after adjusting for multiple comparisons using the Benjamini-Hochberg procedure</w:t>
            </w:r>
          </w:p>
        </w:tc>
      </w:tr>
    </w:tbl>
    <w:p>
      <w:pPr>
        <w:pStyle w:val="Titre2"/>
      </w:pPr>
      <w:r>
        <w:t xml:space="preserve">Table 4: Association between CES-D Scores at Year 2 and Child Immune Status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2"/>
        <w:gridCol w:w="1872"/>
        <w:gridCol w:w="432"/>
        <w:gridCol w:w="792"/>
        <w:gridCol w:w="792"/>
        <w:gridCol w:w="1152"/>
        <w:gridCol w:w="1152"/>
        <w:gridCol w:w="1440"/>
        <w:gridCol w:w="720"/>
      </w:tblGrid>
      <w:tr>
        <w:trPr>
          <w:trHeight w:val="360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CES-D Year 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75th Percentile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Outcome, 75th Percentile v. 25th Percentile</w:t>
            </w:r>
          </w:p>
        </w:tc>
      </w:tr>
      <w:tr>
        <w:trPr>
          <w:trHeight w:val="360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Adjusted</w:t>
            </w:r>
          </w:p>
        </w:tc>
      </w:tr>
      <w:tr>
        <w:trPr>
          <w:trHeight w:val="360" w:hRule="auto"/>
          <w:tblHeader/>
        </w:trPr>
        header 3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Predicted Outcome at 25th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Predicted Outcome at 75th Percentile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Coefficient (95% CI)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CES-D Score Year 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Sum score of inflammation Year 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635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 (-0.14, 0.29)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0.48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Th1/Th2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-0.06 (-0.14,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0.14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Th1/Th17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-0.01 (-0.06, 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0.72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Th1/IL-10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-0.06 (-0.17, 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0.36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Th2/IL-10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0.01 (-0.07, 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0.78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Th17/IL-10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 (-0.04, 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0.38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GM-CSF/IL-10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 (-0.14, 0.14)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0.98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IL-2/IL-10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 (-0.12, 0.12)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0.98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IFN-y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-0.04 (-0.13, 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CRP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0.21 (-0.01, 0.43)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0.06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AGP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-0.06 (-0.14,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0.16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-0.04 (-0.1, 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0.22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Binary CES-D Score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Sum score of inflammation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-0.01 (-0.21, 0.19)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0.92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Th1/Th2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 (-0.1, 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Th1/Th17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-0.02 (-0.1, 0.07)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0.72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Th1/IL-10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 (-0.03, 0.18)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0.18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Th2/IL-10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0.06 (-0.07, 0.19)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0.38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Th17/IL-10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0.15 (0.02, 0.28)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0.03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GM-CSF/IL-10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0.09 (-0.08, 0.26)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0.31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IL-2/IL-10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0.12 (-0.11, 0.34)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0.32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IFN-y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-0.06 (-0.18, 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0.35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CRP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0.17 (-0.01, 0.35)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0.07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AGP Year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-0.03 (-0.12, 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0.49</w:t>
            </w:r>
          </w:p>
        </w:tc>
      </w:tr>
      <w:tr>
        <w:trPr>
          <w:trHeight w:val="360" w:hRule="auto"/>
        </w:trPr>
        body25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Ln IGF-1 Year 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663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3.88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-0.02 (-0.1, 0.06)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0.66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N, 25th Percentile, and 75th Percentile are from the adjusted analyses</w:t>
            </w:r>
          </w:p>
        </w:tc>
      </w:tr>
      <w:tr>
        <w:trPr>
          <w:trHeight w:val="360" w:hRule="auto"/>
        </w:trPr>
        footer 2
        <w:tc>
          <w:tcPr>
            <w:gridSpan w:val="9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* P-value &lt; 0.2 after adjusting for multiple comparisons using the Benjamini-Hochberg procedure</w:t>
            </w:r>
          </w:p>
        </w:tc>
      </w:tr>
    </w:tbl>
    <w:sectPr w:officer="true">
      <w:pgMar w:header="720" w:bottom="432" w:top="432" w:right="432" w:left="432" w:footer="720" w:gutter="0"/>
      <w:pgSz w:h="15840" w:w="12240" w:orient="portrait"/>
      <w:cols/>
      <w:type w:val="continuous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2025-09-29T21:01:13Z</dcterms:modified>
  <cp:category/>
</cp:coreProperties>
</file>