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S1: Association between Exposure to IPV and Child Immune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432"/>
        <w:gridCol w:w="720"/>
        <w:gridCol w:w="720"/>
        <w:gridCol w:w="720"/>
        <w:gridCol w:w="720"/>
        <w:gridCol w:w="1440"/>
        <w:gridCol w:w="432"/>
        <w:gridCol w:w="720"/>
        <w:gridCol w:w="720"/>
        <w:gridCol w:w="720"/>
        <w:gridCol w:w="1440"/>
        <w:gridCol w:w="432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Maternal Exposure to IPV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75th Percentile</w:t>
            </w:r>
          </w:p>
        </w:tc>
        <w:tc>
          <w:tcPr>
            <w:gridSpan w:val="10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Unadjusted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FDR Corrected 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FDR Corrected 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Exposure to IPV during pregnancy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(-0.31, 0.24)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(-0.29, 0.3)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 (-0.06,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 (-0.07,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 (-0.01,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 (0.02, 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(-0.09,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 (-0.06,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 (-0.22,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(-0.16,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 (-0.3,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 (-0.28,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 (-0.46,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 (-0.33,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-0.23 (-0.59,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 (-0.53,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(-0.11,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 (-0.07,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 (-0.05,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 (-0.44,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 (-0.03,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 (-0.03,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(-0.19,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(-0.17,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-0.24 (-0.48,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 (-0.4,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 (-0.08,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 (-0.01,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(-0.14,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 (-0.08,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(-0.11,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 (-0.06,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 (-0.2,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(-0.15,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 (-0.11,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 (-0.06,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(-0.23,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 (-0.15,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 (-0.39,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(-0.41,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 (-0.27,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(-0.23,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 (-0.35,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 (-0.37,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(-0.14,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(-0.01,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(-0.13,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(-0.08,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Exposure to IPV during first year of child's 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(-0.19,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 (-0.18,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(-0.15,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(-0.11,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(-0.13,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 (-0.09,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(-0.09,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(-0.07,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 (-0.09,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(-0.12,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(-0.14,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(-0.16,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(-0.18,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(-0.24,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(-0.32,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(-0.33,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(-0.14,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 (-0.07,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0.27 (-0.14,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 (-0.36, 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(-0.09,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(-0.09,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(-0.16,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(-0.18,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 (-0.25,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 (-0.24,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 (-0.24, -0.02)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 (-0.24,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(-0.1,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(-0.07,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 (-0.19,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 (-0.2,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(-0.11,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(-0.1,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 (-0.22,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 (-0.21,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(-0.19,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(-0.18,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 (-0.09,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 (-0.06, 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 (-0.21,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 (-0.25,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 (-0.34,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 (-0.34,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(-0.07,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(-0.09,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(-0.11,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(-0.09,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Cumulative lifetime exposure to 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 (-0.04,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(-0.04,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(-0.08,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(-0.07,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(-0.05,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 (-0.02,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 (-0.16,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(-0.06,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 (-0.18,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(-0.14,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 (-0.2,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(-0.09,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 (-0.05,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 (-0.04,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(-0.26,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 (-0.24,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 (-0.04,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 (-0.05,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(-0.17,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(-0.17,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(-0.07,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(-0.07,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body62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 (-0.18, -0.03)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(-0.07, 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footer 1
        <w:tc>
          <w:tcPr>
            <w:gridSpan w:val="1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N, 25th Percentile, and 75th Percentile are from the unadjusted analyses</w:t>
            </w:r>
          </w:p>
        </w:tc>
      </w:tr>
    </w:tbl>
    <w:p>
      <w:pPr>
        <w:pStyle w:val="Titre2"/>
      </w:pPr>
      <w:r>
        <w:t xml:space="preserve">Table S2: Association between Parental Stress and Child Immune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432"/>
        <w:gridCol w:w="720"/>
        <w:gridCol w:w="720"/>
        <w:gridCol w:w="720"/>
        <w:gridCol w:w="720"/>
        <w:gridCol w:w="1440"/>
        <w:gridCol w:w="432"/>
        <w:gridCol w:w="720"/>
        <w:gridCol w:w="720"/>
        <w:gridCol w:w="720"/>
        <w:gridCol w:w="1440"/>
        <w:gridCol w:w="432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Parental Stress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75th Percentile</w:t>
            </w:r>
          </w:p>
        </w:tc>
        <w:tc>
          <w:tcPr>
            <w:gridSpan w:val="10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Unadjusted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FDR Corrected 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FDR Corrected 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Maternal stress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 (-0.05, 0.18)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 (-0.06, 0.17)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(-0.09,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(-0.09,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(-0.1,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(-0.08,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(-0.09,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(-0.08,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(-0.08,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(-0.07,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(-0.05,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(-0.07,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(-0.09,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(-0.12,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 (-0.1, 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(-0.16,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(-0.08,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(-0.07,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 (-0.13,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(-0.19,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(-0.05,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(-0.04,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(-0.07,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(-0.08,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Paternal stress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 (-0.02,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 (-0.06,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(-0.07,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(-0.08,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(-0.09,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(-0.09,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(-0.17,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(-0.06,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(-0.07,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(-0.09,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(-0.07,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 (-0.07, 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 (-0.06,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(-0.13,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(-0.11,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(-0.07,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(-0.09,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 (-0.17,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(-0.18,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(-0.01,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 (-0.01,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(-0.05, 0.08)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3.74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(-0.01, 0.09)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footer 1
        <w:tc>
          <w:tcPr>
            <w:gridSpan w:val="1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N, 25th Percentile, and 75th Percentile are from the unadjusted analyses</w:t>
            </w:r>
          </w:p>
        </w:tc>
      </w:tr>
    </w:tbl>
    <w:p>
      <w:pPr>
        <w:pStyle w:val="Titre2"/>
      </w:pPr>
      <w:r>
        <w:t xml:space="preserve">Table S3: Association between CES-D Scores at Year 1 and Child Immune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432"/>
        <w:gridCol w:w="720"/>
        <w:gridCol w:w="720"/>
        <w:gridCol w:w="720"/>
        <w:gridCol w:w="720"/>
        <w:gridCol w:w="1440"/>
        <w:gridCol w:w="432"/>
        <w:gridCol w:w="720"/>
        <w:gridCol w:w="720"/>
        <w:gridCol w:w="720"/>
        <w:gridCol w:w="1440"/>
        <w:gridCol w:w="432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CES-D Year 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75th Percentile</w:t>
            </w:r>
          </w:p>
        </w:tc>
        <w:tc>
          <w:tcPr>
            <w:gridSpan w:val="10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Unadjusted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FDR Corrected 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FDR Corrected 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CES-D Score Year 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(-0.15, 0.2)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(-0.1, 0.1)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(-0.02,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(-0.05,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 (0.01,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 (0.01,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(-0.06,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(-0.07,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 (-0.1,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(-0.18,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 (-0.26,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 (-0.26,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 (-0.11,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 (-0.16,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 (-0.03,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 (-0.02,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(-0.05,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(-0.08,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 (0.01,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 (-0.02,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 (-0.03,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(-0.27,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(-0.1,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 (-0.06,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 (-0.03,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 (-0.3,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(-0.05,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(-0.03,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 (-0.14,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(-0.13,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 (-0.09,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(-0.04,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(-0.1,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(-0.05,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(-0.13,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(-1.48,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(-0.09,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(-0.15,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(-0.14,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(-0.07,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(-0.05,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 (-0.03,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(0,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(-0.01,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(0,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(-0.06,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(-0.06,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Binary CES-D Score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(-0.21,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(-0.21,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(-0.05,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(-0.05,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(-0.11,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(-0.11,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(-0.18,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(-0.18,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(-0.14,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(-0.14,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(-0.14,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(-0.14,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 (-0.12, 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 (-0.12, 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(-0.08,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 (-0.08,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 (-0.11, 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 (-0.11, 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 (-0.02,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 (-0.02,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 (-0.2,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 (-0.2,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(-0.16,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-0.35 (-0.66, -0.04)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(-0.08,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(-0.05,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(-0.07,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 (-0.03,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 (-0.15,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(-0.15,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(-0.18,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(-0.14,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(-0.17,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(-0.35,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(-0.2,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(-0.2,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 (-0.35,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 (-0.36,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(-0.17,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(-0.14,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 (-0.11,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-0.51 (-1.01,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 (-0.01,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 (-0.08,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 (-0.12, 0.05)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(-0.08, 0.08)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footer 1
        <w:tc>
          <w:tcPr>
            <w:gridSpan w:val="1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N, 25th Percentile, and 75th Percentile are from the unadjusted analyses</w:t>
            </w:r>
          </w:p>
        </w:tc>
      </w:tr>
    </w:tbl>
    <w:p>
      <w:pPr>
        <w:pStyle w:val="Titre2"/>
      </w:pPr>
      <w:r>
        <w:t xml:space="preserve">Table S4: Association between CES-D Scores at Year 2 and Child Immune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432"/>
        <w:gridCol w:w="720"/>
        <w:gridCol w:w="720"/>
        <w:gridCol w:w="720"/>
        <w:gridCol w:w="720"/>
        <w:gridCol w:w="1440"/>
        <w:gridCol w:w="432"/>
        <w:gridCol w:w="720"/>
        <w:gridCol w:w="720"/>
        <w:gridCol w:w="720"/>
        <w:gridCol w:w="1440"/>
        <w:gridCol w:w="432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CES-D Year 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75th Percentile</w:t>
            </w:r>
          </w:p>
        </w:tc>
        <w:tc>
          <w:tcPr>
            <w:gridSpan w:val="10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Unadjusted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FDR Corrected 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FDR Corrected 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CES-D Score Year 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 (-0.09, 0.35)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 (-0.14, 0.29)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 (-0.11,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(-0.14,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(-0.07,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(-0.06,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 (-0.23,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(-0.17,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(-0.08,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 (-0.07,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(-0.06,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 (-0.04,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(-0.1,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(-0.14,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(-0.11,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(-0.12,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(-0.07,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 (-0.13,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 (0.02,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 (-0.01,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(-0.04,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(-0.14,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(-0.13,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 (-0.1,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Binary CES-D Score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 (-0.21,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(-0.1,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(-0.1,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 (-0.03,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 (-0.07,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 (0.02,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 (-0.08,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 (-0.11, 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 (-0.18,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 (0.02,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 (-0.01,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(-0.07,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 (-0.12,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Ln IGF-1 Year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(0, 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 (-0.1, 0.06)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footer 1
        <w:tc>
          <w:tcPr>
            <w:gridSpan w:val="1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N, 25th Percentile, and 75th Percentile are from the unadjusted analyses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2025-09-29T21:01:17Z</dcterms:modified>
  <cp:category/>
</cp:coreProperties>
</file>