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Micronutrients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(0, 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 (-0.11,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(-0.48,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(-0.29,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(-0.47,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(-0.25,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 (-0.74,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(-0.25,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 (-0.58,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(-0.14,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(-0.2,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(-0.76, 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 (-0.51, -0.05)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-0.57 (-0.98, -0.17)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(0.01,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(-0.56, 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 (-1.15, 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(-0.5,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 (-0.77, 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(-0.47,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 (-1.25,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 (-0.9,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 (-1.05,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(-0.19,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(-0.45,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(-0.22,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 (-0.36,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(-0.11,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(-0.15,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(0,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(-0.05,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(-0.18,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(-0.27,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(-0.43,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(-0.02,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(0.09,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(-0.15,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(-0.22,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(-0.09,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(-0.34,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(-0.45, 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2: Maternal Cortisol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(-0.14,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(-0.06,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(-0.25, 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Estriol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(-0.01, 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(-0.34, 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(-0.15,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(-0.04,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4: Maternal Immune Status and Child Immune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(-0.1, 0.02)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(-0.09,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(-0.14,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(-0.31,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(-0.16,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(-0.12,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(-0.11,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(-0.27,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Initial Ln IFN-y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(-0.25,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(-0.26,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(-0.33,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 (-0.58,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432" w:top="432" w:right="432" w:left="432" w:footer="720" w:gutter="0"/>
      <w:pgSz w:h="1224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2023-06-14T23:58:52Z</dcterms:modified>
  <cp:category/>
</cp:coreProperties>
</file>