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S3: Maternal Micronutrients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Micronutrients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(-0.16,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(-0.1,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(-0.06,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(-0.49,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(-0.12,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(-0.35,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RBP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(-0.31,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(-0.56,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 (-0.61,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(0,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(-0.35,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(-0.43,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(-1.09, 1.33)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(-0.34, 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(-0.2, 0.75)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 (-0.15,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(0.13, 1.91)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(-0.59,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(-0.13,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(-1.07,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(-1.1, 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 (-0.72,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 (-0.74,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 (-0.96,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(-0.89,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 (-1.01,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 (-1.03,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(-0.13,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(-0.34,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(0,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(0.03,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 (-0.05,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 (-0.1,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(-0.15,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(-0.13,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(-0.18,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(-0.16,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(-0.28,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(-0.34,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S4: Maternal Cortisol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Cortisol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(-0.21,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(-0.1,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(-0.02,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(-0.16,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S5: Maternal Estriol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Estriol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Estriol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(-0.42,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(-0.41,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(-0.09,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(-0.1,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(-0.03,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(-0.04,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S6: Maternal Immune Status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Immune Status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(-0.54,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(-0.34,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Initial Ln 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(-0.19,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(-0.03,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(-0.18,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(-0.34,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(-0.09,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S7: Maternal STfR and Child Cytokine Ratios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RBP and sTfR and Child Cytokine Ratios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Th1/Th2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Th2/IL-10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Proinflammatory/IL-10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Th1/Th2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Th1/IL-10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Th2/IL-10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Proinflammatory/IL-10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(-0.16,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(-0.17, 0.21)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2240" w:w="15840" w:orient="landscape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2023-04-25T10:34:34Z</dcterms:modified>
  <cp:category/>
</cp:coreProperties>
</file>