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2: Maternal Estriol and Child Growth Status - Unadjusted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2"/>
        <w:gridCol w:w="2016"/>
        <w:gridCol w:w="432"/>
        <w:gridCol w:w="792"/>
        <w:gridCol w:w="792"/>
        <w:gridCol w:w="1152"/>
        <w:gridCol w:w="1152"/>
        <w:gridCol w:w="1440"/>
        <w:gridCol w:w="720"/>
      </w:tblGrid>
      <w:tr>
        <w:trPr>
          <w:trHeight w:val="360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Maternal Estriol and Child Growth Status - Unadjusted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75th Percentile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Outcome, 75th Percentile v. 25th Percentile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Unadjusted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Estriol (ng/mL)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-1.06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 (-0.3, 0.09)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Estriol (ng/mL)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-0.09 (-0.19,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Estriol (ng/mL)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-0.79 (-3.25, 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0.54NA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 (-0.17,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Estriol (ng/mL)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51.79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50.05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-1.74 (-4.01, 0.54)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0.13NA</w:t>
            </w:r>
          </w:p>
        </w:tc>
      </w:tr>
      <w:tr>
        <w:trPr>
          <w:trHeight w:val="360" w:hRule="auto"/>
        </w:trPr>
        footer1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N, 25th Percentile, and 75th Percentile are from the unadjusted analyses</w:t>
            </w:r>
          </w:p>
        </w:tc>
      </w:tr>
      <w:tr>
        <w:trPr>
          <w:trHeight w:val="360" w:hRule="auto"/>
        </w:trPr>
        footer2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* P &lt; 0.1 after adjusting for multiple comparisons using the Benjamini-Hochberg procedure</w:t>
            </w:r>
          </w:p>
        </w:tc>
      </w:tr>
    </w:tbl>
    <w:p>
      <w:pPr>
        <w:pStyle w:val="Titre2"/>
      </w:pPr>
      <w:r>
        <w:t xml:space="preserve">Table 3: Maternal Plasma Cortisol and Child Growth Status - Unadjusted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4"/>
        <w:gridCol w:w="2016"/>
        <w:gridCol w:w="432"/>
        <w:gridCol w:w="792"/>
        <w:gridCol w:w="792"/>
        <w:gridCol w:w="1152"/>
        <w:gridCol w:w="1152"/>
        <w:gridCol w:w="1440"/>
        <w:gridCol w:w="720"/>
      </w:tblGrid>
      <w:tr>
        <w:trPr>
          <w:trHeight w:val="360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Maternal Plasma Cortisol and Child Growth Status - Unadjusted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75th Percentile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Outcome, 75th Percentile v. 25th Percentile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Unadjusted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Cortisol (ug/dL)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2.66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-1.03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 (-0.35, 0.12)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0.36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Cortisol (ug/dL)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-0.16 (-0.29, -0.02)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0.02*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Cortisol (ug/dL)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39.03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-1.46 (-4.26,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0.31NA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 (-0.22,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Cortisol (ug/dL)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2.53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51.41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47.08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-4.33 (-9.98, 1.32)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0.13NA</w:t>
            </w:r>
          </w:p>
        </w:tc>
      </w:tr>
      <w:tr>
        <w:trPr>
          <w:trHeight w:val="360" w:hRule="auto"/>
        </w:trPr>
        footer1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N, 25th Percentile, and 75th Percentile are from the unadjusted analyses</w:t>
            </w:r>
          </w:p>
        </w:tc>
      </w:tr>
      <w:tr>
        <w:trPr>
          <w:trHeight w:val="360" w:hRule="auto"/>
        </w:trPr>
        footer2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* P &lt; 0.1 after adjusting for multiple comparisons using the Benjamini-Hochberg procedure</w:t>
            </w:r>
          </w:p>
        </w:tc>
      </w:tr>
    </w:tbl>
    <w:p>
      <w:pPr>
        <w:pStyle w:val="Titre2"/>
      </w:pPr>
      <w:r>
        <w:t xml:space="preserve">Table 4: Maternal Inflammation and Child Growth Status - Unadjusted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4"/>
        <w:gridCol w:w="2016"/>
        <w:gridCol w:w="432"/>
        <w:gridCol w:w="792"/>
        <w:gridCol w:w="792"/>
        <w:gridCol w:w="1152"/>
        <w:gridCol w:w="1152"/>
        <w:gridCol w:w="1440"/>
        <w:gridCol w:w="720"/>
      </w:tblGrid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Maternal Inflammation and Child Growth Status - Unadjusted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75th Percentile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Outcome, 75th Percentile v. 25th Percentile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Unadjusted</w:t>
            </w:r>
          </w:p>
        </w:tc>
      </w:tr>
      <w:tr>
        <w:trPr>
          <w:trHeight w:val="360" w:hRule="auto"/>
          <w:tblHeader/>
        </w:trPr>
        header 3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AGP (g/L)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-1.05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-0.16 (-0.37, 0.05)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AGP (g/L)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 (-0.15,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AGP (g/L)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1.81 (-0.56, 4.17)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0.13NA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 (-0.18, 0.35)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0.54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AGP (g/L)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2.85 (0.53, 5.17)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0.02NA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CRP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 (-0.09, 0.52)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CRP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 (-0.14,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CRP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1.24 (-1.18, 3.66)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0.32NA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 (0.02, 0.48)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CRP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49.58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 (-2.06, 3.81)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0.57NA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Sum score of 13 cytokines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 (-0.22, 0.48)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Sum score of 13 cytokines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 (-0.2,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Sum score of 13 cytokines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-0.96 (-3.8, 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0.52NA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 (-0.23, -0.01)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Sum score of 13 cytokines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50.3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46.84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-3.46 (-7.84, 0.91)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0.12NA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N, 25th Percentile, and 75th Percentile are from the unadjusted analyses</w:t>
            </w:r>
          </w:p>
        </w:tc>
      </w:tr>
      <w:tr>
        <w:trPr>
          <w:trHeight w:val="360" w:hRule="auto"/>
        </w:trPr>
        footer 2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* P &lt; 0.1 after adjusting for multiple comparisons using the Benjamini-Hochberg procedure</w:t>
            </w:r>
          </w:p>
        </w:tc>
      </w:tr>
    </w:tbl>
    <w:p>
      <w:pPr>
        <w:pStyle w:val="Titre2"/>
      </w:pPr>
      <w:r>
        <w:t xml:space="preserve">Table 5: Maternal Micronutrients and Child Growth Status - Unadjusted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4"/>
        <w:gridCol w:w="2016"/>
        <w:gridCol w:w="432"/>
        <w:gridCol w:w="792"/>
        <w:gridCol w:w="792"/>
        <w:gridCol w:w="1152"/>
        <w:gridCol w:w="1152"/>
        <w:gridCol w:w="1440"/>
        <w:gridCol w:w="720"/>
      </w:tblGrid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Maternal Micronutrients and Child Growth Status - Unadjusted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75th Percentile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Outcome, 75th Percentile v. 25th Percentile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Unadjusted</w:t>
            </w:r>
          </w:p>
        </w:tc>
      </w:tr>
      <w:tr>
        <w:trPr>
          <w:trHeight w:val="360" w:hRule="auto"/>
          <w:tblHeader/>
        </w:trPr>
        header 3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Vitamin D (nmol/L)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53.54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 (-0.24, 0.09)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Vitamin D (nmol/L)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 (-0.18,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Vitamin D (nmol/L)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-0.53 (-3.7, 2.64)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0.76NA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 (-0.17,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Vitamin D (nmol/L)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49.92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3.4 (-2.3, 9.11)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0.24NA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RBP (umol/L)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 (-0.29,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0.57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RBP (umol/L)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 (-0.13,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RBP (umol/L)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 (-1.23, 2.99)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0.42NA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 (-0.17, 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RBP (umol/L)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49.05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1.75 (-0.84, 4.34)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0.19NA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sTfR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 (-0.2,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sTfR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-0.33 (-0.6, -0.06)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sTfR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2.65 (-1.96, 7.26)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0.26NA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 (-0.25, 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0.79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sTfR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49.83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-0.64 (-3.12, 1.84)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0.63NA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N, 25th Percentile, and 75th Percentile are from the unadjusted analyses</w:t>
            </w:r>
          </w:p>
        </w:tc>
      </w:tr>
      <w:tr>
        <w:trPr>
          <w:trHeight w:val="360" w:hRule="auto"/>
        </w:trPr>
        footer 2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* P &lt; 0.1 after adjusting for multiple comparisons using the Benjamini-Hochberg procedure</w:t>
            </w:r>
          </w:p>
        </w:tc>
      </w:tr>
    </w:tbl>
    <w:sectPr>
      <w:pgMar w:header="708" w:bottom="432" w:top="432" w:right="432" w:left="432" w:footer="708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belindachen</cp:lastModifiedBy>
  <cp:revision>9</cp:revision>
  <dcterms:created xsi:type="dcterms:W3CDTF">2017-02-28T11:18:00Z</dcterms:created>
  <dcterms:modified xsi:type="dcterms:W3CDTF">2025-09-01T19:51:42Z</dcterms:modified>
  <cp:category/>
</cp:coreProperties>
</file>