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1794" w14:textId="77777777" w:rsidR="00C75306" w:rsidRPr="00665490" w:rsidRDefault="00C75306" w:rsidP="00691061">
      <w:pPr>
        <w:pStyle w:val="ListParagraph"/>
        <w:numPr>
          <w:ilvl w:val="1"/>
          <w:numId w:val="1"/>
        </w:numPr>
        <w:spacing w:after="0" w:line="480" w:lineRule="auto"/>
        <w:ind w:left="0"/>
        <w:rPr>
          <w:rFonts w:ascii="Times New Roman" w:hAnsi="Times New Roman" w:cs="Times New Roman"/>
        </w:rPr>
      </w:pPr>
      <w:r w:rsidRPr="00665490">
        <w:rPr>
          <w:rFonts w:ascii="Times New Roman" w:hAnsi="Times New Roman" w:cs="Times New Roman"/>
        </w:rPr>
        <w:t xml:space="preserve">The </w:t>
      </w:r>
      <w:r>
        <w:rPr>
          <w:rFonts w:ascii="Times New Roman" w:hAnsi="Times New Roman" w:cs="Times New Roman"/>
        </w:rPr>
        <w:t xml:space="preserve">2020 </w:t>
      </w:r>
      <w:r w:rsidRPr="00665490">
        <w:rPr>
          <w:rFonts w:ascii="Times New Roman" w:hAnsi="Times New Roman" w:cs="Times New Roman"/>
        </w:rPr>
        <w:t xml:space="preserve">study by </w:t>
      </w:r>
      <w:proofErr w:type="spellStart"/>
      <w:r w:rsidRPr="00665490">
        <w:rPr>
          <w:rFonts w:ascii="Times New Roman" w:hAnsi="Times New Roman" w:cs="Times New Roman"/>
        </w:rPr>
        <w:t>Kortekangas</w:t>
      </w:r>
      <w:proofErr w:type="spellEnd"/>
      <w:r w:rsidRPr="00665490">
        <w:rPr>
          <w:rFonts w:ascii="Times New Roman" w:hAnsi="Times New Roman" w:cs="Times New Roman"/>
        </w:rPr>
        <w:t xml:space="preserve"> et al.</w:t>
      </w:r>
      <w:r>
        <w:rPr>
          <w:rFonts w:ascii="Times New Roman" w:hAnsi="Times New Roman" w:cs="Times New Roman"/>
        </w:rPr>
        <w:fldChar w:fldCharType="begin"/>
      </w:r>
      <w:r>
        <w:rPr>
          <w:rFonts w:ascii="Times New Roman" w:hAnsi="Times New Roman" w:cs="Times New Roman"/>
        </w:rPr>
        <w:instrText xml:space="preserve"> ADDIN ZOTERO_ITEM CSL_CITATION {"citationID":"BndZzFGp","properties":{"formattedCitation":"\\super 1\\nosupersub{}","plainCitation":"1","noteIndex":0},"citationItems":[{"id":1740,"uris":["http://zotero.org/users/6982175/items/KJBXDNQ6"],"itemData":{"id":1740,"type":"article-journal","container-title":"Paediatric and Perinatal Epidemiology","DOI":"10.1111/ppe.12623","ISSN":"0269-5022, 1365-3016","issue":"2","journalAbbreviation":"Paediatr Perinat Epidemiol","language":"en","page":"161-170","source":"DOI.org (Crossref)","title":"Environmental exposures and child and maternal gut microbiota in rural Malawi","volume":"34","author":[{"family":"Kortekangas","given":"Emma"},{"family":"Kamng'ona","given":"Arox W."},{"family":"Fan","given":"Yue‐Mei"},{"family":"Cheung","given":"Yin Bun"},{"family":"Ashorn","given":"Ulla"},{"family":"Matchado","given":"Andrew"},{"family":"Poelman","given":"Basho"},{"family":"Maleta","given":"Kenneth"},{"family":"Dewey","given":"Kathryn G."},{"family":"Ashorn","given":"Per"}],"issued":{"date-parts":[["2020",3]]}}}],"schema":"https://github.com/citation-style-language/schema/raw/master/csl-citation.json"} </w:instrText>
      </w:r>
      <w:r>
        <w:rPr>
          <w:rFonts w:ascii="Times New Roman" w:hAnsi="Times New Roman" w:cs="Times New Roman"/>
        </w:rPr>
        <w:fldChar w:fldCharType="separate"/>
      </w:r>
      <w:r w:rsidRPr="00173B95">
        <w:rPr>
          <w:rFonts w:ascii="Times New Roman" w:hAnsi="Times New Roman" w:cs="Times New Roman"/>
          <w:vertAlign w:val="superscript"/>
        </w:rPr>
        <w:t>1</w:t>
      </w:r>
      <w:r>
        <w:rPr>
          <w:rFonts w:ascii="Times New Roman" w:hAnsi="Times New Roman" w:cs="Times New Roman"/>
        </w:rPr>
        <w:fldChar w:fldCharType="end"/>
      </w:r>
      <w:r w:rsidRPr="00665490">
        <w:rPr>
          <w:rFonts w:ascii="Times New Roman" w:hAnsi="Times New Roman" w:cs="Times New Roman"/>
        </w:rPr>
        <w:t xml:space="preserve"> examined the effects of</w:t>
      </w:r>
      <w:r w:rsidRPr="00665490">
        <w:rPr>
          <w:rFonts w:ascii="Times New Roman" w:hAnsi="Times New Roman" w:cs="Times New Roman"/>
        </w:rPr>
        <w:t xml:space="preserve"> </w:t>
      </w:r>
      <w:r w:rsidRPr="00665490">
        <w:rPr>
          <w:rFonts w:ascii="Times New Roman" w:hAnsi="Times New Roman" w:cs="Times New Roman"/>
        </w:rPr>
        <w:t>adverse environmental exposures on</w:t>
      </w:r>
      <w:r w:rsidRPr="00665490">
        <w:rPr>
          <w:rFonts w:ascii="Times New Roman" w:hAnsi="Times New Roman" w:cs="Times New Roman"/>
        </w:rPr>
        <w:t xml:space="preserve"> </w:t>
      </w:r>
      <w:r w:rsidRPr="00665490">
        <w:rPr>
          <w:rFonts w:ascii="Times New Roman" w:hAnsi="Times New Roman" w:cs="Times New Roman"/>
        </w:rPr>
        <w:t>the gut microbiota composition of children and their mothers, an underexplored topic when compared to the impacts of gut microbiota on child health. The authors hypothesized that in mothers and their children at 18 months and 30 months of age, higher levels of adverse environmental exposures would be associated with lower microbiota diversity and maturity.</w:t>
      </w:r>
    </w:p>
    <w:p w14:paraId="16FD2DDC" w14:textId="77777777" w:rsidR="00C75306" w:rsidRPr="00665490" w:rsidRDefault="00C75306" w:rsidP="00691061">
      <w:pPr>
        <w:pStyle w:val="ListParagraph"/>
        <w:numPr>
          <w:ilvl w:val="1"/>
          <w:numId w:val="1"/>
        </w:numPr>
        <w:spacing w:after="0" w:line="480" w:lineRule="auto"/>
        <w:ind w:left="0"/>
        <w:rPr>
          <w:rFonts w:ascii="Times New Roman" w:hAnsi="Times New Roman" w:cs="Times New Roman"/>
        </w:rPr>
      </w:pPr>
      <w:r w:rsidRPr="00665490">
        <w:rPr>
          <w:rFonts w:ascii="Times New Roman" w:hAnsi="Times New Roman" w:cs="Times New Roman"/>
        </w:rPr>
        <w:t>The study design was an observational cohort study with prospective follow-up of participants. In this cohort study, there was a temporal aspect and there was longitudinal follow-up. Given the study question, this was an appropriate and strong study design since causality could be established due to the temporal aspect and longitudinal follow-up.</w:t>
      </w:r>
      <w:r>
        <w:rPr>
          <w:rFonts w:ascii="Times New Roman" w:hAnsi="Times New Roman" w:cs="Times New Roman"/>
        </w:rPr>
        <w:t xml:space="preserve"> </w:t>
      </w:r>
      <w:r w:rsidRPr="00600462">
        <w:rPr>
          <w:rFonts w:ascii="Times New Roman" w:hAnsi="Times New Roman" w:cs="Times New Roman"/>
        </w:rPr>
        <w:t xml:space="preserve">Of note, the parent study of this paper (the </w:t>
      </w:r>
      <w:proofErr w:type="spellStart"/>
      <w:r w:rsidRPr="00600462">
        <w:rPr>
          <w:rFonts w:ascii="Times New Roman" w:hAnsi="Times New Roman" w:cs="Times New Roman"/>
        </w:rPr>
        <w:t>iLiNS</w:t>
      </w:r>
      <w:proofErr w:type="spellEnd"/>
      <w:r w:rsidRPr="00600462">
        <w:rPr>
          <w:rFonts w:ascii="Times New Roman" w:hAnsi="Times New Roman" w:cs="Times New Roman"/>
        </w:rPr>
        <w:t>-DYAD trial) was a randomized nutritional intervention study. However, the randomized nutritional intervention was not studied in this paper and environmental exposures were only observed (not assigned) by investigators.</w:t>
      </w:r>
    </w:p>
    <w:p w14:paraId="09D50108" w14:textId="77777777" w:rsidR="00C75306" w:rsidRPr="00665490" w:rsidRDefault="00C75306" w:rsidP="00691061">
      <w:pPr>
        <w:pStyle w:val="ListParagraph"/>
        <w:numPr>
          <w:ilvl w:val="1"/>
          <w:numId w:val="1"/>
        </w:numPr>
        <w:spacing w:after="0" w:line="480" w:lineRule="auto"/>
        <w:ind w:left="0"/>
        <w:rPr>
          <w:rFonts w:ascii="Times New Roman" w:hAnsi="Times New Roman" w:cs="Times New Roman"/>
        </w:rPr>
      </w:pPr>
      <w:r w:rsidRPr="00665490">
        <w:rPr>
          <w:rFonts w:ascii="Times New Roman" w:hAnsi="Times New Roman" w:cs="Times New Roman"/>
        </w:rPr>
        <w:t xml:space="preserve">The source population was pregnant participants of the </w:t>
      </w:r>
      <w:proofErr w:type="spellStart"/>
      <w:r w:rsidRPr="00665490">
        <w:rPr>
          <w:rFonts w:ascii="Times New Roman" w:hAnsi="Times New Roman" w:cs="Times New Roman"/>
        </w:rPr>
        <w:t>iLiNS</w:t>
      </w:r>
      <w:proofErr w:type="spellEnd"/>
      <w:r w:rsidRPr="00665490">
        <w:rPr>
          <w:rFonts w:ascii="Times New Roman" w:hAnsi="Times New Roman" w:cs="Times New Roman"/>
        </w:rPr>
        <w:t xml:space="preserve">-DYAD trial in southern rural Malawi. From the 1,391 women enrolled in the main study, 869 had complete follow-up over the cohort </w:t>
      </w:r>
      <w:proofErr w:type="gramStart"/>
      <w:r w:rsidRPr="00665490">
        <w:rPr>
          <w:rFonts w:ascii="Times New Roman" w:hAnsi="Times New Roman" w:cs="Times New Roman"/>
        </w:rPr>
        <w:t>time period</w:t>
      </w:r>
      <w:proofErr w:type="gramEnd"/>
      <w:r w:rsidRPr="00665490">
        <w:rPr>
          <w:rFonts w:ascii="Times New Roman" w:hAnsi="Times New Roman" w:cs="Times New Roman"/>
        </w:rPr>
        <w:t xml:space="preserve">. Of these women, stool samples were collected from only 343 mothers 1 month after delivery. From these 343 mothers, stool samples were available from 631 children at 18 months of age, and from 579 children at 30 months of age; </w:t>
      </w:r>
      <w:proofErr w:type="gramStart"/>
      <w:r w:rsidRPr="00665490">
        <w:rPr>
          <w:rFonts w:ascii="Times New Roman" w:hAnsi="Times New Roman" w:cs="Times New Roman"/>
        </w:rPr>
        <w:t>all of</w:t>
      </w:r>
      <w:proofErr w:type="gramEnd"/>
      <w:r w:rsidRPr="00665490">
        <w:rPr>
          <w:rFonts w:ascii="Times New Roman" w:hAnsi="Times New Roman" w:cs="Times New Roman"/>
        </w:rPr>
        <w:t xml:space="preserve"> these stool samples were used in analysis. The retention rate of children between the two time points was high; most of the participant exclusion for mothers and children was due to missed fecal sample collection.</w:t>
      </w:r>
    </w:p>
    <w:p w14:paraId="4B95348C" w14:textId="7C905B47" w:rsidR="00C75306" w:rsidRPr="00665490" w:rsidRDefault="00C75306" w:rsidP="00691061">
      <w:pPr>
        <w:pStyle w:val="ListParagraph"/>
        <w:numPr>
          <w:ilvl w:val="1"/>
          <w:numId w:val="1"/>
        </w:numPr>
        <w:spacing w:before="240" w:after="0" w:line="480" w:lineRule="auto"/>
        <w:ind w:left="0"/>
        <w:rPr>
          <w:rFonts w:ascii="Times New Roman" w:hAnsi="Times New Roman" w:cs="Times New Roman"/>
        </w:rPr>
      </w:pPr>
      <w:r w:rsidRPr="00665490">
        <w:rPr>
          <w:rFonts w:ascii="Times New Roman" w:hAnsi="Times New Roman" w:cs="Times New Roman"/>
        </w:rPr>
        <w:t xml:space="preserve">The primary environmental exposures </w:t>
      </w:r>
      <w:proofErr w:type="gramStart"/>
      <w:r w:rsidRPr="00665490">
        <w:rPr>
          <w:rFonts w:ascii="Times New Roman" w:hAnsi="Times New Roman" w:cs="Times New Roman"/>
        </w:rPr>
        <w:t>were:</w:t>
      </w:r>
      <w:proofErr w:type="gramEnd"/>
      <w:r w:rsidRPr="00665490">
        <w:rPr>
          <w:rFonts w:ascii="Times New Roman" w:hAnsi="Times New Roman" w:cs="Times New Roman"/>
        </w:rPr>
        <w:t xml:space="preserve"> below-median household assets index, household animal presence, lacking piped drinking water, sanitary facility, or a regular pit latrine, below-median maternal education, maternal HIV, and non-married maternal marital status. These exposures were directly measured except for the household assets index which is a well-established surrogate measure for socioeconomic status.</w:t>
      </w:r>
      <w:r>
        <w:rPr>
          <w:rFonts w:ascii="Times New Roman" w:hAnsi="Times New Roman" w:cs="Times New Roman"/>
        </w:rPr>
        <w:fldChar w:fldCharType="begin"/>
      </w:r>
      <w:r>
        <w:rPr>
          <w:rFonts w:ascii="Times New Roman" w:hAnsi="Times New Roman" w:cs="Times New Roman"/>
        </w:rPr>
        <w:instrText xml:space="preserve"> ADDIN ZOTERO_ITEM CSL_CITATION {"citationID":"AO289Ezj","properties":{"formattedCitation":"\\super 2\\nosupersub{}","plainCitation":"2","noteIndex":0},"citationItems":[{"id":1744,"uris":["http://zotero.org/users/6982175/items/ZC84ESTA"],"itemData":{"id":1744,"type":"article-journal","abstract":"Abstract\n            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Bihar.","container-title":"Demography","DOI":"10.1353/dem.2001.0003","ISSN":"0070-3370, 1533-7790","issue":"1","language":"en","page":"115-132","source":"DOI.org (Crossref)","title":"Estimating wealth effects without expenditure data—or tears: An application to educational enrollments in states of India","title-short":"Estimating wealth effects without expenditure data—or tears","volume":"38","author":[{"family":"Filmer","given":"Deon"},{"family":"Pritchett","given":"Lant H."}],"issued":{"date-parts":[["2001",2,1]]}}}],"schema":"https://github.com/citation-style-language/schema/raw/master/csl-citation.json"} </w:instrText>
      </w:r>
      <w:r>
        <w:rPr>
          <w:rFonts w:ascii="Times New Roman" w:hAnsi="Times New Roman" w:cs="Times New Roman"/>
        </w:rPr>
        <w:fldChar w:fldCharType="separate"/>
      </w:r>
      <w:r w:rsidRPr="00173B95">
        <w:rPr>
          <w:rFonts w:ascii="Times New Roman" w:hAnsi="Times New Roman" w:cs="Times New Roman"/>
          <w:vertAlign w:val="superscript"/>
        </w:rPr>
        <w:t>2</w:t>
      </w:r>
      <w:r>
        <w:rPr>
          <w:rFonts w:ascii="Times New Roman" w:hAnsi="Times New Roman" w:cs="Times New Roman"/>
        </w:rPr>
        <w:fldChar w:fldCharType="end"/>
      </w:r>
      <w:r w:rsidRPr="00665490">
        <w:rPr>
          <w:rFonts w:ascii="Times New Roman" w:hAnsi="Times New Roman" w:cs="Times New Roman"/>
        </w:rPr>
        <w:t xml:space="preserve"> The primary outcome variable was child microbiota maturity and diversity at ages 18 and 30 months. Secondary outcomes included child microbiota maturity and diversity at 1, 6, and 12 months and mothers’ microbiota outcomes in mothers 1 month postpartum. The gut microbiota was </w:t>
      </w:r>
      <w:r w:rsidRPr="00665490">
        <w:rPr>
          <w:rFonts w:ascii="Times New Roman" w:hAnsi="Times New Roman" w:cs="Times New Roman"/>
        </w:rPr>
        <w:lastRenderedPageBreak/>
        <w:t>assessed via 16s rRNA sequencing of fecal samples; this is a surrogate measure of the mucosal large intestine microbiota. The use of surrogate measures necessitated a validity study to ensure that the fecal samples were good proxies for studying the gut microbiota. Yet, the authors did not perform any such studies. Collecting child fecal samples at multiple time points helped reduce within-person variability. However, samples were only collected from mothers once. This is a weakness, as within-person variability was not considered for the mothers. Fecal samples were collected via home visits, frozen at</w:t>
      </w:r>
      <w:r w:rsidR="002C0044">
        <w:rPr>
          <w:rFonts w:ascii="Times New Roman" w:hAnsi="Times New Roman" w:cs="Times New Roman"/>
        </w:rPr>
        <w:t xml:space="preserve"> -</w:t>
      </w:r>
      <w:r w:rsidRPr="00665490">
        <w:rPr>
          <w:rFonts w:ascii="Times New Roman" w:hAnsi="Times New Roman" w:cs="Times New Roman"/>
        </w:rPr>
        <w:t>20</w:t>
      </w:r>
      <w:r w:rsidR="002C0044">
        <w:rPr>
          <w:rFonts w:ascii="Times New Roman" w:hAnsi="Times New Roman" w:cs="Times New Roman"/>
        </w:rPr>
        <w:t xml:space="preserve"> º</w:t>
      </w:r>
      <w:r w:rsidRPr="00665490">
        <w:rPr>
          <w:rFonts w:ascii="Times New Roman" w:hAnsi="Times New Roman" w:cs="Times New Roman"/>
        </w:rPr>
        <w:t>C within six hours, frozen at -80</w:t>
      </w:r>
      <w:r w:rsidR="002C0044">
        <w:rPr>
          <w:rFonts w:ascii="Times New Roman" w:hAnsi="Times New Roman" w:cs="Times New Roman"/>
        </w:rPr>
        <w:t>º</w:t>
      </w:r>
      <w:r w:rsidR="002C0044" w:rsidRPr="00665490">
        <w:rPr>
          <w:rFonts w:ascii="Times New Roman" w:hAnsi="Times New Roman" w:cs="Times New Roman"/>
        </w:rPr>
        <w:t>C</w:t>
      </w:r>
      <w:r w:rsidRPr="00665490">
        <w:rPr>
          <w:rFonts w:ascii="Times New Roman" w:hAnsi="Times New Roman" w:cs="Times New Roman"/>
        </w:rPr>
        <w:t xml:space="preserve"> within 48 hours, then shipped for analysis on dry ice. DNA was isolated from fecal samples by bead-beating, then PCR was performed using V4 primers.</w:t>
      </w:r>
      <w:r>
        <w:rPr>
          <w:rFonts w:ascii="Times New Roman" w:hAnsi="Times New Roman" w:cs="Times New Roman"/>
        </w:rPr>
        <w:fldChar w:fldCharType="begin"/>
      </w:r>
      <w:r>
        <w:rPr>
          <w:rFonts w:ascii="Times New Roman" w:hAnsi="Times New Roman" w:cs="Times New Roman"/>
        </w:rPr>
        <w:instrText xml:space="preserve"> ADDIN ZOTERO_ITEM CSL_CITATION {"citationID":"UVvdbMPM","properties":{"formattedCitation":"\\super 1,3\\nosupersub{}","plainCitation":"1,3","noteIndex":0},"citationItems":[{"id":1740,"uris":["http://zotero.org/users/6982175/items/KJBXDNQ6"],"itemData":{"id":1740,"type":"article-journal","container-title":"Paediatric and Perinatal Epidemiology","DOI":"10.1111/ppe.12623","ISSN":"0269-5022, 1365-3016","issue":"2","journalAbbreviation":"Paediatr Perinat Epidemiol","language":"en","page":"161-170","source":"DOI.org (Crossref)","title":"Environmental exposures and child and maternal gut microbiota in rural Malawi","volume":"34","author":[{"family":"Kortekangas","given":"Emma"},{"family":"Kamng'ona","given":"Arox W."},{"family":"Fan","given":"Yue‐Mei"},{"family":"Cheung","given":"Yin Bun"},{"family":"Ashorn","given":"Ulla"},{"family":"Matchado","given":"Andrew"},{"family":"Poelman","given":"Basho"},{"family":"Maleta","given":"Kenneth"},{"family":"Dewey","given":"Kathryn G."},{"family":"Ashorn","given":"Per"}],"issued":{"date-parts":[["2020",3]]}}},{"id":1742,"uris":["http://zotero.org/users/6982175/items/Z82PUFNG"],"itemData":{"id":1742,"type":"article-journal","container-title":"Nature","DOI":"10.1038/nature13421","ISSN":"0028-0836, 1476-4687","issue":"7505","journalAbbreviation":"Nature","language":"en","page":"417-421","source":"DOI.org (Crossref)","title":"Persistent gut microbiota immaturity in malnourished Bangladeshi children","volume":"510","author":[{"family":"Subramanian","given":"Sathish"},{"family":"Huq","given":"Sayeeda"},{"family":"Yatsunenko","given":"Tanya"},{"family":"Haque","given":"Rashidul"},{"family":"Mahfuz","given":"Mustafa"},{"family":"Alam","given":"Mohammed A."},{"family":"Benezra","given":"Amber"},{"family":"DeStefano","given":"Joseph"},{"family":"Meier","given":"Martin F."},{"family":"Muegge","given":"Brian D."},{"family":"Barratt","given":"Michael J."},{"family":"VanArendonk","given":"Laura G."},{"family":"Zhang","given":"Qunyuan"},{"family":"Province","given":"Michael A."},{"family":"Petri Jr","given":"William A."},{"family":"Ahmed","given":"Tahmeed"},{"family":"Gordon","given":"Jeffrey I."}],"issued":{"date-parts":[["2014",6]]}}}],"schema":"https://github.com/citation-style-language/schema/raw/master/csl-citation.json"} </w:instrText>
      </w:r>
      <w:r>
        <w:rPr>
          <w:rFonts w:ascii="Times New Roman" w:hAnsi="Times New Roman" w:cs="Times New Roman"/>
        </w:rPr>
        <w:fldChar w:fldCharType="separate"/>
      </w:r>
      <w:r w:rsidRPr="00173B95">
        <w:rPr>
          <w:rFonts w:ascii="Times New Roman" w:hAnsi="Times New Roman" w:cs="Times New Roman"/>
          <w:vertAlign w:val="superscript"/>
        </w:rPr>
        <w:t>1,3</w:t>
      </w:r>
      <w:r>
        <w:rPr>
          <w:rFonts w:ascii="Times New Roman" w:hAnsi="Times New Roman" w:cs="Times New Roman"/>
        </w:rPr>
        <w:fldChar w:fldCharType="end"/>
      </w:r>
      <w:r w:rsidRPr="00665490">
        <w:rPr>
          <w:rFonts w:ascii="Times New Roman" w:hAnsi="Times New Roman" w:cs="Times New Roman"/>
        </w:rPr>
        <w:t xml:space="preserve"> OTUs were picked </w:t>
      </w:r>
      <w:r w:rsidRPr="00665490">
        <w:rPr>
          <w:rFonts w:ascii="Times New Roman" w:hAnsi="Times New Roman" w:cs="Times New Roman"/>
          <w:i/>
          <w:iCs/>
        </w:rPr>
        <w:t>de novo</w:t>
      </w:r>
      <w:r w:rsidRPr="00665490">
        <w:rPr>
          <w:rFonts w:ascii="Times New Roman" w:hAnsi="Times New Roman" w:cs="Times New Roman"/>
        </w:rPr>
        <w:t xml:space="preserve"> and OTUs with &lt;0.1% reads were removed. ASV and WGS were not discussed. Researchers ran linear models for associations between all exposures and microbiota maturity and diversity (using Shannon Index). Shannon Index is a strong measure of </w:t>
      </w:r>
      <w:r w:rsidRPr="00665490">
        <w:rPr>
          <w:rFonts w:ascii="Times New Roman" w:hAnsi="Times New Roman" w:cs="Times New Roman"/>
        </w:rPr>
        <w:sym w:font="Symbol" w:char="F061"/>
      </w:r>
      <w:r w:rsidRPr="00665490">
        <w:rPr>
          <w:rFonts w:ascii="Times New Roman" w:hAnsi="Times New Roman" w:cs="Times New Roman"/>
        </w:rPr>
        <w:t xml:space="preserve">-diversity, as it provides relative abundance quantitative information and accounts for rare species. However, the study would have been stronger with multiple </w:t>
      </w:r>
      <w:r w:rsidRPr="00665490">
        <w:rPr>
          <w:rFonts w:ascii="Times New Roman" w:hAnsi="Times New Roman" w:cs="Times New Roman"/>
        </w:rPr>
        <w:sym w:font="Symbol" w:char="F061"/>
      </w:r>
      <w:r w:rsidRPr="00665490">
        <w:rPr>
          <w:rFonts w:ascii="Times New Roman" w:hAnsi="Times New Roman" w:cs="Times New Roman"/>
        </w:rPr>
        <w:t xml:space="preserve">-diversity measures to compare findings. They used rigorous methods—weighted and unweighted </w:t>
      </w:r>
      <w:proofErr w:type="spellStart"/>
      <w:r w:rsidRPr="00665490">
        <w:rPr>
          <w:rFonts w:ascii="Times New Roman" w:hAnsi="Times New Roman" w:cs="Times New Roman"/>
        </w:rPr>
        <w:t>UniFrac</w:t>
      </w:r>
      <w:proofErr w:type="spellEnd"/>
      <w:r w:rsidRPr="00665490">
        <w:rPr>
          <w:rFonts w:ascii="Times New Roman" w:hAnsi="Times New Roman" w:cs="Times New Roman"/>
        </w:rPr>
        <w:t xml:space="preserve"> distances in PERMANOVA models—to test for </w:t>
      </w:r>
      <w:r w:rsidRPr="00665490">
        <w:rPr>
          <w:rFonts w:ascii="Times New Roman" w:hAnsi="Times New Roman" w:cs="Times New Roman"/>
        </w:rPr>
        <w:sym w:font="Symbol" w:char="F062"/>
      </w:r>
      <w:r w:rsidRPr="00665490">
        <w:rPr>
          <w:rFonts w:ascii="Times New Roman" w:hAnsi="Times New Roman" w:cs="Times New Roman"/>
        </w:rPr>
        <w:t>-diversity. Neither positive nor negative controls were utilized in this study, which could have validated analytical procedures. A source of measurement random error could be inter-technician variability, which has potential for information bias via non-differential misclassification of outcome. 16s may not have captured all bacterial species, so another validating method should have been used to prevent measurement systematic error and consequential information bias in the form of non-differential classification of outcome. Unfortunately, no variables were tested for reliability or validity in this paper. To control for confounders, the researchers adequately adjusted their models for exact gestational age and other exposures.</w:t>
      </w:r>
    </w:p>
    <w:p w14:paraId="360DB1E1" w14:textId="6E6510DE" w:rsidR="00C75306" w:rsidRDefault="00C75306" w:rsidP="00691061">
      <w:pPr>
        <w:pStyle w:val="ListParagraph"/>
        <w:numPr>
          <w:ilvl w:val="1"/>
          <w:numId w:val="1"/>
        </w:numPr>
        <w:spacing w:after="0" w:line="480" w:lineRule="auto"/>
        <w:ind w:left="0"/>
        <w:rPr>
          <w:rFonts w:ascii="Times New Roman" w:hAnsi="Times New Roman" w:cs="Times New Roman"/>
        </w:rPr>
      </w:pPr>
      <w:r w:rsidRPr="00665490">
        <w:rPr>
          <w:rFonts w:ascii="Times New Roman" w:hAnsi="Times New Roman" w:cs="Times New Roman"/>
        </w:rPr>
        <w:t xml:space="preserve">The study found that low maternal education was associated with low child microbiota maturity and diversity. In children, season, water source, and maternal education was most associated with gut microbiota, and HIV status was the most important predictor for mothers’ relative OTU and genus abundance. High rates of follow-up, large sample size, and rigorous stool collection methods were </w:t>
      </w:r>
      <w:r w:rsidRPr="00665490">
        <w:rPr>
          <w:rFonts w:ascii="Times New Roman" w:hAnsi="Times New Roman" w:cs="Times New Roman"/>
        </w:rPr>
        <w:lastRenderedPageBreak/>
        <w:t>strengths of the study. Limitations included no collection of dietary data, stress or inflammation, and household crowding. The strengths outweigh the limitations of the study as longitudinal follow-up allows causal interpretation. The results that maternal education and HIV status have implications for gut microbiome are biologically plausible. The results are generalizable to the rural Malawian population—because microbiota differ across populations, these results cannot be extended to other communities. Selection bias indicates systematic errors in study recruitment and causes internal invalidity. Generalizability is when study results can be applied to a target population, making the study externally valid. Policy implications of this study include advocating for women’s education</w:t>
      </w:r>
      <w:r w:rsidR="00147F98">
        <w:rPr>
          <w:rFonts w:ascii="Times New Roman" w:hAnsi="Times New Roman" w:cs="Times New Roman"/>
        </w:rPr>
        <w:t xml:space="preserve">, </w:t>
      </w:r>
      <w:r w:rsidRPr="00665490">
        <w:rPr>
          <w:rFonts w:ascii="Times New Roman" w:hAnsi="Times New Roman" w:cs="Times New Roman"/>
        </w:rPr>
        <w:t>HIV testing and treatment</w:t>
      </w:r>
      <w:r w:rsidR="00147F98">
        <w:rPr>
          <w:rFonts w:ascii="Times New Roman" w:hAnsi="Times New Roman" w:cs="Times New Roman"/>
        </w:rPr>
        <w:t xml:space="preserve">, and safe water sources </w:t>
      </w:r>
      <w:r w:rsidRPr="00665490">
        <w:rPr>
          <w:rFonts w:ascii="Times New Roman" w:hAnsi="Times New Roman" w:cs="Times New Roman"/>
        </w:rPr>
        <w:t xml:space="preserve">in Malawi, since these were </w:t>
      </w:r>
      <w:r w:rsidR="00147F98">
        <w:rPr>
          <w:rFonts w:ascii="Times New Roman" w:hAnsi="Times New Roman" w:cs="Times New Roman"/>
        </w:rPr>
        <w:t>some of the</w:t>
      </w:r>
      <w:r w:rsidRPr="00665490">
        <w:rPr>
          <w:rFonts w:ascii="Times New Roman" w:hAnsi="Times New Roman" w:cs="Times New Roman"/>
        </w:rPr>
        <w:t xml:space="preserve"> exposures linked to gut </w:t>
      </w:r>
      <w:r w:rsidR="00147F98">
        <w:rPr>
          <w:rFonts w:ascii="Times New Roman" w:hAnsi="Times New Roman" w:cs="Times New Roman"/>
        </w:rPr>
        <w:t>maturity and richness</w:t>
      </w:r>
      <w:r w:rsidRPr="00665490">
        <w:rPr>
          <w:rFonts w:ascii="Times New Roman" w:hAnsi="Times New Roman" w:cs="Times New Roman"/>
        </w:rPr>
        <w:t xml:space="preserve"> in the study population.</w:t>
      </w:r>
    </w:p>
    <w:p w14:paraId="36DE26E7" w14:textId="77777777" w:rsidR="00C75306" w:rsidRDefault="00C75306" w:rsidP="00691061">
      <w:pPr>
        <w:spacing w:line="480" w:lineRule="auto"/>
        <w:rPr>
          <w:rFonts w:ascii="Times New Roman" w:hAnsi="Times New Roman" w:cs="Times New Roman"/>
        </w:rPr>
      </w:pPr>
    </w:p>
    <w:p w14:paraId="2F56FB46" w14:textId="77777777" w:rsidR="00C75306" w:rsidRDefault="00C75306" w:rsidP="00691061">
      <w:pPr>
        <w:spacing w:line="480" w:lineRule="auto"/>
        <w:rPr>
          <w:rFonts w:ascii="Times New Roman" w:hAnsi="Times New Roman" w:cs="Times New Roman"/>
        </w:rPr>
      </w:pPr>
    </w:p>
    <w:p w14:paraId="0CD187E3" w14:textId="77777777" w:rsidR="00C75306" w:rsidRDefault="00C75306" w:rsidP="00691061">
      <w:pPr>
        <w:spacing w:line="480" w:lineRule="auto"/>
        <w:rPr>
          <w:rFonts w:ascii="Times New Roman" w:hAnsi="Times New Roman" w:cs="Times New Roman"/>
        </w:rPr>
      </w:pPr>
    </w:p>
    <w:p w14:paraId="6367B5E5" w14:textId="77777777" w:rsidR="00C75306" w:rsidRDefault="00C75306" w:rsidP="00691061">
      <w:pPr>
        <w:spacing w:line="480" w:lineRule="auto"/>
        <w:rPr>
          <w:rFonts w:ascii="Times New Roman" w:hAnsi="Times New Roman" w:cs="Times New Roman"/>
        </w:rPr>
      </w:pPr>
    </w:p>
    <w:p w14:paraId="26979E70" w14:textId="77777777" w:rsidR="00C75306" w:rsidRDefault="00C75306" w:rsidP="00691061">
      <w:pPr>
        <w:spacing w:line="480" w:lineRule="auto"/>
        <w:rPr>
          <w:rFonts w:ascii="Times New Roman" w:hAnsi="Times New Roman" w:cs="Times New Roman"/>
        </w:rPr>
      </w:pPr>
    </w:p>
    <w:p w14:paraId="777FCD49" w14:textId="77777777" w:rsidR="00C75306" w:rsidRDefault="00C75306" w:rsidP="00691061">
      <w:pPr>
        <w:spacing w:line="480" w:lineRule="auto"/>
        <w:rPr>
          <w:rFonts w:ascii="Times New Roman" w:hAnsi="Times New Roman" w:cs="Times New Roman"/>
        </w:rPr>
      </w:pPr>
    </w:p>
    <w:p w14:paraId="1DB657CA" w14:textId="77777777" w:rsidR="00C75306" w:rsidRDefault="00C75306" w:rsidP="00691061">
      <w:pPr>
        <w:spacing w:line="480" w:lineRule="auto"/>
        <w:rPr>
          <w:rFonts w:ascii="Times New Roman" w:hAnsi="Times New Roman" w:cs="Times New Roman"/>
        </w:rPr>
      </w:pPr>
    </w:p>
    <w:p w14:paraId="377A9F86" w14:textId="77777777" w:rsidR="00C75306" w:rsidRDefault="00C75306" w:rsidP="00691061">
      <w:pPr>
        <w:spacing w:line="480" w:lineRule="auto"/>
        <w:rPr>
          <w:rFonts w:ascii="Times New Roman" w:hAnsi="Times New Roman" w:cs="Times New Roman"/>
        </w:rPr>
      </w:pPr>
    </w:p>
    <w:p w14:paraId="10011968" w14:textId="77777777" w:rsidR="00C75306" w:rsidRDefault="00C75306" w:rsidP="00691061">
      <w:pPr>
        <w:spacing w:line="480" w:lineRule="auto"/>
        <w:rPr>
          <w:rFonts w:ascii="Times New Roman" w:hAnsi="Times New Roman" w:cs="Times New Roman"/>
        </w:rPr>
      </w:pPr>
    </w:p>
    <w:p w14:paraId="3045477A" w14:textId="77777777" w:rsidR="00C75306" w:rsidRDefault="00C75306" w:rsidP="00691061">
      <w:pPr>
        <w:spacing w:line="480" w:lineRule="auto"/>
        <w:rPr>
          <w:rFonts w:ascii="Times New Roman" w:hAnsi="Times New Roman" w:cs="Times New Roman"/>
        </w:rPr>
      </w:pPr>
    </w:p>
    <w:p w14:paraId="14D18286" w14:textId="77777777" w:rsidR="00C75306" w:rsidRDefault="00C75306" w:rsidP="00691061">
      <w:pPr>
        <w:spacing w:line="480" w:lineRule="auto"/>
        <w:rPr>
          <w:rFonts w:ascii="Times New Roman" w:hAnsi="Times New Roman" w:cs="Times New Roman"/>
        </w:rPr>
      </w:pPr>
    </w:p>
    <w:p w14:paraId="58F07582" w14:textId="77777777" w:rsidR="00C75306" w:rsidRDefault="00C75306" w:rsidP="00691061">
      <w:pPr>
        <w:spacing w:line="480" w:lineRule="auto"/>
        <w:rPr>
          <w:rFonts w:ascii="Times New Roman" w:hAnsi="Times New Roman" w:cs="Times New Roman"/>
        </w:rPr>
      </w:pPr>
    </w:p>
    <w:p w14:paraId="6D33A6D2" w14:textId="77777777" w:rsidR="00C75306" w:rsidRDefault="00C75306" w:rsidP="00691061">
      <w:pPr>
        <w:spacing w:line="480" w:lineRule="auto"/>
        <w:rPr>
          <w:rFonts w:ascii="Times New Roman" w:hAnsi="Times New Roman" w:cs="Times New Roman"/>
        </w:rPr>
      </w:pPr>
    </w:p>
    <w:p w14:paraId="1145C37D" w14:textId="4A4CC8ED" w:rsidR="000B653A" w:rsidRDefault="000B653A" w:rsidP="00691061">
      <w:pPr>
        <w:spacing w:line="480" w:lineRule="auto"/>
      </w:pPr>
    </w:p>
    <w:sectPr w:rsidR="000B653A" w:rsidSect="007446F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90F43" w14:textId="77777777" w:rsidR="0061229E" w:rsidRDefault="0061229E" w:rsidP="007446F7">
      <w:r>
        <w:separator/>
      </w:r>
    </w:p>
  </w:endnote>
  <w:endnote w:type="continuationSeparator" w:id="0">
    <w:p w14:paraId="707225ED" w14:textId="77777777" w:rsidR="0061229E" w:rsidRDefault="0061229E" w:rsidP="0074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E4BAE" w14:textId="77777777" w:rsidR="0061229E" w:rsidRDefault="0061229E" w:rsidP="007446F7">
      <w:r>
        <w:separator/>
      </w:r>
    </w:p>
  </w:footnote>
  <w:footnote w:type="continuationSeparator" w:id="0">
    <w:p w14:paraId="0D433692" w14:textId="77777777" w:rsidR="0061229E" w:rsidRDefault="0061229E" w:rsidP="0074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A5E1" w14:textId="7444931A" w:rsidR="007446F7" w:rsidRPr="007446F7" w:rsidRDefault="007446F7" w:rsidP="007446F7">
    <w:pPr>
      <w:pStyle w:val="Header"/>
      <w:spacing w:line="360" w:lineRule="auto"/>
      <w:rPr>
        <w:rFonts w:ascii="Times New Roman" w:hAnsi="Times New Roman" w:cs="Times New Roman"/>
        <w:b/>
        <w:bCs/>
      </w:rPr>
    </w:pPr>
    <w:r w:rsidRPr="007446F7">
      <w:rPr>
        <w:rFonts w:ascii="Times New Roman" w:hAnsi="Times New Roman" w:cs="Times New Roman"/>
        <w:b/>
        <w:bCs/>
      </w:rPr>
      <w:t>Farheen Jamshed</w:t>
    </w:r>
  </w:p>
  <w:p w14:paraId="078326A1" w14:textId="7D13E7FF" w:rsidR="007446F7" w:rsidRPr="007446F7" w:rsidRDefault="007446F7" w:rsidP="007446F7">
    <w:pPr>
      <w:pStyle w:val="Header"/>
      <w:spacing w:line="360" w:lineRule="auto"/>
      <w:rPr>
        <w:rFonts w:ascii="Times New Roman" w:hAnsi="Times New Roman" w:cs="Times New Roman"/>
        <w:b/>
        <w:bCs/>
      </w:rPr>
    </w:pPr>
    <w:r w:rsidRPr="007446F7">
      <w:rPr>
        <w:rFonts w:ascii="Times New Roman" w:hAnsi="Times New Roman" w:cs="Times New Roman"/>
        <w:b/>
        <w:bCs/>
      </w:rPr>
      <w:t>Assignment 2: Part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6068E"/>
    <w:multiLevelType w:val="hybridMultilevel"/>
    <w:tmpl w:val="AF7EF93C"/>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154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06"/>
    <w:rsid w:val="000B653A"/>
    <w:rsid w:val="00147F98"/>
    <w:rsid w:val="002939C6"/>
    <w:rsid w:val="002C0044"/>
    <w:rsid w:val="0061229E"/>
    <w:rsid w:val="00691061"/>
    <w:rsid w:val="007446F7"/>
    <w:rsid w:val="007C3BEB"/>
    <w:rsid w:val="00B87E2A"/>
    <w:rsid w:val="00C75306"/>
    <w:rsid w:val="00E27FEB"/>
    <w:rsid w:val="00E6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84795"/>
  <w14:defaultImageDpi w14:val="32767"/>
  <w15:chartTrackingRefBased/>
  <w15:docId w15:val="{82BA32EB-1778-5C40-BE85-32B7CE6D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06"/>
    <w:pPr>
      <w:spacing w:after="160" w:line="259" w:lineRule="auto"/>
      <w:ind w:left="720"/>
      <w:contextualSpacing/>
    </w:pPr>
    <w:rPr>
      <w:kern w:val="0"/>
      <w:sz w:val="22"/>
      <w:szCs w:val="22"/>
      <w14:ligatures w14:val="none"/>
    </w:rPr>
  </w:style>
  <w:style w:type="paragraph" w:styleId="Bibliography">
    <w:name w:val="Bibliography"/>
    <w:basedOn w:val="Normal"/>
    <w:next w:val="Normal"/>
    <w:uiPriority w:val="37"/>
    <w:unhideWhenUsed/>
    <w:rsid w:val="00C75306"/>
    <w:pPr>
      <w:tabs>
        <w:tab w:val="left" w:pos="260"/>
      </w:tabs>
      <w:spacing w:after="240"/>
      <w:ind w:left="264" w:hanging="264"/>
    </w:pPr>
  </w:style>
  <w:style w:type="paragraph" w:styleId="Header">
    <w:name w:val="header"/>
    <w:basedOn w:val="Normal"/>
    <w:link w:val="HeaderChar"/>
    <w:uiPriority w:val="99"/>
    <w:unhideWhenUsed/>
    <w:rsid w:val="007446F7"/>
    <w:pPr>
      <w:tabs>
        <w:tab w:val="center" w:pos="4680"/>
        <w:tab w:val="right" w:pos="9360"/>
      </w:tabs>
    </w:pPr>
  </w:style>
  <w:style w:type="character" w:customStyle="1" w:styleId="HeaderChar">
    <w:name w:val="Header Char"/>
    <w:basedOn w:val="DefaultParagraphFont"/>
    <w:link w:val="Header"/>
    <w:uiPriority w:val="99"/>
    <w:rsid w:val="007446F7"/>
  </w:style>
  <w:style w:type="paragraph" w:styleId="Footer">
    <w:name w:val="footer"/>
    <w:basedOn w:val="Normal"/>
    <w:link w:val="FooterChar"/>
    <w:uiPriority w:val="99"/>
    <w:unhideWhenUsed/>
    <w:rsid w:val="007446F7"/>
    <w:pPr>
      <w:tabs>
        <w:tab w:val="center" w:pos="4680"/>
        <w:tab w:val="right" w:pos="9360"/>
      </w:tabs>
    </w:pPr>
  </w:style>
  <w:style w:type="character" w:customStyle="1" w:styleId="FooterChar">
    <w:name w:val="Footer Char"/>
    <w:basedOn w:val="DefaultParagraphFont"/>
    <w:link w:val="Footer"/>
    <w:uiPriority w:val="99"/>
    <w:rsid w:val="0074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Farheen</dc:creator>
  <cp:keywords/>
  <dc:description/>
  <cp:lastModifiedBy>Jamshed, Farheen</cp:lastModifiedBy>
  <cp:revision>4</cp:revision>
  <dcterms:created xsi:type="dcterms:W3CDTF">2023-05-01T03:25:00Z</dcterms:created>
  <dcterms:modified xsi:type="dcterms:W3CDTF">2023-05-01T03:32:00Z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id="w8oS0rlI"/&gt;&lt;style id="http://www.zotero.org/styles/american-medical-association" hasBibliography="1" bibliographyStyleHasBeenSet="1"/&gt;&lt;prefs&gt;&lt;pref name="fieldType" value="Field"/&gt;&lt;/prefs&gt;&lt;/data&gt;</vt:lpwstr>
  </property>
</Properties>
</file>