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B2E7" w14:textId="77777777" w:rsidR="00FF1C0E" w:rsidRDefault="00000000">
      <w:pPr>
        <w:pStyle w:val="Heading2"/>
      </w:pPr>
      <w:r>
        <w:t>Maternal Biomarkers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0"/>
        <w:gridCol w:w="3510"/>
      </w:tblGrid>
      <w:tr w:rsidR="001D0087" w14:paraId="221ACDC1" w14:textId="77777777" w:rsidTr="001D0087">
        <w:trPr>
          <w:cantSplit/>
          <w:tblHeader/>
          <w:jc w:val="center"/>
        </w:trPr>
        <w:tc>
          <w:tcPr>
            <w:tcW w:w="17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487F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09D3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 Enrollment</w:t>
            </w:r>
          </w:p>
        </w:tc>
      </w:tr>
      <w:tr w:rsidR="001D0087" w14:paraId="47475B36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2061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1D14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</w:tr>
      <w:tr w:rsidR="001D0087" w14:paraId="700B6B78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0362" w14:textId="78A0213C" w:rsidR="00FF1C0E" w:rsidRPr="00803F07" w:rsidRDefault="00000000">
            <w:pPr>
              <w:spacing w:before="100" w:after="100"/>
              <w:ind w:left="100" w:right="100"/>
              <w:rPr>
                <w:vertAlign w:val="superscript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D</w:t>
            </w:r>
            <w:r w:rsidR="00803F07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7523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42.11 (32.55, 55.06)</w:t>
            </w:r>
          </w:p>
        </w:tc>
      </w:tr>
      <w:tr w:rsidR="001D0087" w14:paraId="62165E8B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DDCC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Ferritin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90AF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26.95 (14.46, 53.8)</w:t>
            </w:r>
          </w:p>
        </w:tc>
      </w:tr>
      <w:tr w:rsidR="001D0087" w14:paraId="385AE8C3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DF0E" w14:textId="77777777" w:rsidR="00FF1C0E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sTfR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C66C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4.34 (3.69, 5.53)</w:t>
            </w:r>
          </w:p>
        </w:tc>
      </w:tr>
      <w:tr w:rsidR="001D0087" w14:paraId="13B4103F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5E47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RBP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90AD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 (1.02, 1.52)</w:t>
            </w:r>
          </w:p>
        </w:tc>
      </w:tr>
      <w:tr w:rsidR="001D0087" w14:paraId="41D83BAD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FABA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A Deficiency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BA78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(2%)</w:t>
            </w:r>
          </w:p>
        </w:tc>
      </w:tr>
      <w:tr w:rsidR="001D0087" w14:paraId="1E9C025B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2A86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Vitamin A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25E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 (19%)</w:t>
            </w:r>
          </w:p>
        </w:tc>
      </w:tr>
      <w:tr w:rsidR="001D0087" w14:paraId="5753F7E2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19D3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D Deficiency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9968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 (19%)</w:t>
            </w:r>
          </w:p>
        </w:tc>
      </w:tr>
      <w:tr w:rsidR="001D0087" w14:paraId="40CD483C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6F6B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Iron Deficiency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3F4D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(23%)</w:t>
            </w:r>
          </w:p>
        </w:tc>
      </w:tr>
      <w:tr w:rsidR="001D0087" w14:paraId="559C1184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08C8" w14:textId="0B62FEE0" w:rsidR="00FF1C0E" w:rsidRPr="00803F07" w:rsidRDefault="00000000">
            <w:pPr>
              <w:spacing w:before="100" w:after="100"/>
              <w:ind w:left="100" w:right="100"/>
              <w:rPr>
                <w:vertAlign w:val="superscript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Cortisol</w:t>
            </w:r>
            <w:r w:rsidR="00803F07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921C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18.88 (12.37, 26.18)</w:t>
            </w:r>
          </w:p>
        </w:tc>
      </w:tr>
      <w:tr w:rsidR="001D0087" w14:paraId="7602357D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CA85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Estriol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3ACA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3.85 (2.04, 5.56)</w:t>
            </w:r>
          </w:p>
        </w:tc>
      </w:tr>
      <w:tr w:rsidR="001D0087" w14:paraId="54A87524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020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DB7A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 (0.72, 1.67)</w:t>
            </w:r>
          </w:p>
        </w:tc>
      </w:tr>
      <w:tr w:rsidR="001D0087" w14:paraId="68EFEF72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CB28" w14:textId="6FD88EBF" w:rsidR="00FF1C0E" w:rsidRPr="00803F07" w:rsidRDefault="00000000">
            <w:pPr>
              <w:spacing w:before="100" w:after="100"/>
              <w:ind w:left="100" w:right="100"/>
              <w:rPr>
                <w:vertAlign w:val="superscript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Il-6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  <w:r w:rsidR="00803F07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A648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2.29 (1.26, 3.55)</w:t>
            </w:r>
          </w:p>
        </w:tc>
      </w:tr>
      <w:tr w:rsidR="001D0087" w14:paraId="50F686B0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D9B4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TNF-a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C0CE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 (2.94, 4.55)</w:t>
            </w:r>
          </w:p>
        </w:tc>
      </w:tr>
      <w:tr w:rsidR="001D0087" w14:paraId="749A54E5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DE57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5F4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2.72 (1.95, 3.66)</w:t>
            </w:r>
          </w:p>
        </w:tc>
      </w:tr>
      <w:tr w:rsidR="001D0087" w14:paraId="4C007DC4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C0F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IFN-g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98D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7.27 (5.21, 10.05)</w:t>
            </w:r>
          </w:p>
        </w:tc>
      </w:tr>
      <w:tr w:rsidR="001D0087" w14:paraId="031D04CB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9B0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IL-4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1DD4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52.99 (35.65, 72.36)</w:t>
            </w:r>
          </w:p>
        </w:tc>
      </w:tr>
      <w:tr w:rsidR="001D0087" w14:paraId="42E092FA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8AC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IL-5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F1FF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 (1.03, 1.99)</w:t>
            </w:r>
          </w:p>
        </w:tc>
      </w:tr>
      <w:tr w:rsidR="001D0087" w14:paraId="5BA5D0DC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5916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IL-13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79C9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6.14 (3.46, 9.6)</w:t>
            </w:r>
          </w:p>
        </w:tc>
      </w:tr>
      <w:tr w:rsidR="001D0087" w14:paraId="2235826E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A74A6" w14:textId="61E91824" w:rsidR="00FF1C0E" w:rsidRPr="00803F07" w:rsidRDefault="00000000">
            <w:pPr>
              <w:spacing w:before="100" w:after="100"/>
              <w:ind w:left="100" w:right="100"/>
              <w:rPr>
                <w:vertAlign w:val="superscript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IL-17A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  <w:r w:rsidR="00803F07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A6EC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4.79 (3.53, 6.46)</w:t>
            </w:r>
          </w:p>
        </w:tc>
      </w:tr>
      <w:tr w:rsidR="001D0087" w14:paraId="01A8838B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8681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IL-21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0D2F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 (0.98, 2.77)</w:t>
            </w:r>
          </w:p>
        </w:tc>
      </w:tr>
      <w:tr w:rsidR="001D0087" w14:paraId="30C6E543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1934" w14:textId="46500681" w:rsidR="00FF1C0E" w:rsidRPr="00803F07" w:rsidRDefault="00000000">
            <w:pPr>
              <w:spacing w:before="100" w:after="100"/>
              <w:ind w:left="100" w:right="100"/>
              <w:rPr>
                <w:vertAlign w:val="superscript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IL-10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  <w:r w:rsidR="00803F07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B216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 (3.92, 11.21)</w:t>
            </w:r>
          </w:p>
        </w:tc>
      </w:tr>
      <w:tr w:rsidR="001D0087" w14:paraId="143E4CC1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0B1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48D7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 (0.5, 1.71)</w:t>
            </w:r>
          </w:p>
        </w:tc>
      </w:tr>
      <w:tr w:rsidR="001D0087" w14:paraId="2EF21039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4A2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GM-CSF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887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44.36 (25.48, 70.96)</w:t>
            </w:r>
          </w:p>
        </w:tc>
      </w:tr>
      <w:tr w:rsidR="001D0087" w14:paraId="550DB7A5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24E4" w14:textId="07164C26" w:rsidR="00FF1C0E" w:rsidRPr="00803F07" w:rsidRDefault="00000000">
            <w:pPr>
              <w:spacing w:before="100" w:after="100"/>
              <w:ind w:left="100" w:right="100"/>
              <w:rPr>
                <w:vertAlign w:val="superscript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AGP (g/L)</w:t>
            </w:r>
            <w:r w:rsidR="00803F07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EB9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 (0.33, 0.57)</w:t>
            </w:r>
          </w:p>
        </w:tc>
      </w:tr>
      <w:tr w:rsidR="001D0087" w14:paraId="004FCB2C" w14:textId="77777777" w:rsidTr="001D0087">
        <w:trPr>
          <w:cantSplit/>
          <w:jc w:val="center"/>
        </w:trPr>
        <w:tc>
          <w:tcPr>
            <w:tcW w:w="17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27F6" w14:textId="7D73F3A4" w:rsidR="00FF1C0E" w:rsidRPr="00803F07" w:rsidRDefault="00000000">
            <w:pPr>
              <w:spacing w:before="100" w:after="100"/>
              <w:ind w:left="100" w:right="100"/>
              <w:rPr>
                <w:vertAlign w:val="superscript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CRP (mg/L)</w:t>
            </w:r>
            <w:r w:rsidR="00803F07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35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B4E1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1.94 (0.91, 4.05)</w:t>
            </w:r>
          </w:p>
        </w:tc>
      </w:tr>
    </w:tbl>
    <w:p w14:paraId="103209A4" w14:textId="77777777" w:rsidR="00B57B27" w:rsidRPr="002D7426" w:rsidRDefault="00B57B27">
      <w:pPr>
        <w:rPr>
          <w:rFonts w:ascii="Helvetica" w:hAnsi="Helvetica"/>
        </w:rPr>
      </w:pPr>
    </w:p>
    <w:p w14:paraId="6BF17BC4" w14:textId="53289C1C" w:rsidR="00803F07" w:rsidRPr="00803F07" w:rsidRDefault="00803F07" w:rsidP="00803F07">
      <w:pPr>
        <w:rPr>
          <w:rFonts w:ascii="Helvetica" w:eastAsia="Times New Roman" w:hAnsi="Helvetica" w:cs="Times New Roman"/>
        </w:rPr>
      </w:pPr>
      <w:r w:rsidRPr="00803F07">
        <w:rPr>
          <w:rFonts w:ascii="Helvetica" w:eastAsia="Times New Roman" w:hAnsi="Helvetica" w:cs="Calibri"/>
          <w:color w:val="000000"/>
        </w:rPr>
        <w:t>1. Recommended vitamin D serum levels during pregnancy range from 50 to 75 nmol/L.</w:t>
      </w:r>
      <w:r w:rsidRPr="002D7426">
        <w:rPr>
          <w:rFonts w:ascii="Helvetica" w:hAnsi="Helvetica"/>
          <w:vertAlign w:val="superscript"/>
        </w:rPr>
        <w:t>1</w:t>
      </w:r>
    </w:p>
    <w:p w14:paraId="2A25ED4A" w14:textId="42399917" w:rsidR="00803F07" w:rsidRPr="00803F07" w:rsidRDefault="00803F07" w:rsidP="00803F07">
      <w:pPr>
        <w:rPr>
          <w:rFonts w:ascii="Helvetica" w:eastAsia="Times New Roman" w:hAnsi="Helvetica" w:cs="Times New Roman"/>
        </w:rPr>
      </w:pPr>
      <w:r w:rsidRPr="00803F07">
        <w:rPr>
          <w:rFonts w:ascii="Helvetica" w:eastAsia="Times New Roman" w:hAnsi="Helvetica" w:cs="Calibri"/>
          <w:color w:val="000000"/>
        </w:rPr>
        <w:lastRenderedPageBreak/>
        <w:t xml:space="preserve">2. During the first trimester of pregnancy, serum cortisol levels are expected to be 7 to 19 </w:t>
      </w:r>
      <w:proofErr w:type="spellStart"/>
      <w:r w:rsidRPr="00803F07">
        <w:rPr>
          <w:rFonts w:ascii="Helvetica" w:eastAsia="Times New Roman" w:hAnsi="Helvetica" w:cs="Calibri"/>
          <w:color w:val="000000"/>
        </w:rPr>
        <w:t>μg</w:t>
      </w:r>
      <w:proofErr w:type="spellEnd"/>
      <w:r w:rsidRPr="00803F07">
        <w:rPr>
          <w:rFonts w:ascii="Helvetica" w:eastAsia="Times New Roman" w:hAnsi="Helvetica" w:cs="Calibri"/>
          <w:color w:val="000000"/>
        </w:rPr>
        <w:t xml:space="preserve">/dL, and 10 to 42 </w:t>
      </w:r>
      <w:proofErr w:type="spellStart"/>
      <w:r w:rsidRPr="00803F07">
        <w:rPr>
          <w:rFonts w:ascii="Helvetica" w:eastAsia="Times New Roman" w:hAnsi="Helvetica" w:cs="Calibri"/>
          <w:color w:val="000000"/>
        </w:rPr>
        <w:t>μg</w:t>
      </w:r>
      <w:proofErr w:type="spellEnd"/>
      <w:r w:rsidRPr="00803F07">
        <w:rPr>
          <w:rFonts w:ascii="Helvetica" w:eastAsia="Times New Roman" w:hAnsi="Helvetica" w:cs="Calibri"/>
          <w:color w:val="000000"/>
        </w:rPr>
        <w:t>/dL during the second trimester.</w:t>
      </w:r>
      <w:r w:rsidRPr="002D7426">
        <w:rPr>
          <w:rFonts w:ascii="Helvetica" w:hAnsi="Helvetica"/>
          <w:vertAlign w:val="superscript"/>
        </w:rPr>
        <w:t>2</w:t>
      </w:r>
    </w:p>
    <w:p w14:paraId="0C0CF6B2" w14:textId="3AE66378" w:rsidR="00803F07" w:rsidRPr="00803F07" w:rsidRDefault="00803F07" w:rsidP="00803F07">
      <w:pPr>
        <w:rPr>
          <w:rFonts w:ascii="Helvetica" w:eastAsia="Times New Roman" w:hAnsi="Helvetica" w:cs="Times New Roman"/>
          <w:vertAlign w:val="superscript"/>
        </w:rPr>
      </w:pPr>
      <w:r w:rsidRPr="00803F07">
        <w:rPr>
          <w:rFonts w:ascii="Helvetica" w:eastAsia="Times New Roman" w:hAnsi="Helvetica" w:cs="Calibri"/>
          <w:color w:val="000000"/>
        </w:rPr>
        <w:t xml:space="preserve">3. A healthy population less than 45 years of age with no prior history of hypertension, diabetes, cardiovascular disease, cancer, or chronic inflammation had the following serum cytokine measurements in </w:t>
      </w:r>
      <w:proofErr w:type="spellStart"/>
      <w:r w:rsidRPr="00803F07">
        <w:rPr>
          <w:rFonts w:ascii="Helvetica" w:eastAsia="Times New Roman" w:hAnsi="Helvetica" w:cs="Calibri"/>
          <w:color w:val="000000"/>
        </w:rPr>
        <w:t>pg</w:t>
      </w:r>
      <w:proofErr w:type="spellEnd"/>
      <w:r w:rsidRPr="00803F07">
        <w:rPr>
          <w:rFonts w:ascii="Helvetica" w:eastAsia="Times New Roman" w:hAnsi="Helvetica" w:cs="Calibri"/>
          <w:color w:val="000000"/>
        </w:rPr>
        <w:t>/mL: IL-6 (mean 2.91 ± standard deviation 6.45), IL-17 (6.53 ± 7.42), and IL-10 (1.32 ± 3.06).</w:t>
      </w:r>
      <w:r w:rsidRPr="002D7426">
        <w:rPr>
          <w:rFonts w:ascii="Helvetica" w:eastAsia="Times New Roman" w:hAnsi="Helvetica" w:cs="Calibri"/>
          <w:color w:val="000000"/>
          <w:vertAlign w:val="superscript"/>
        </w:rPr>
        <w:t>3</w:t>
      </w:r>
    </w:p>
    <w:p w14:paraId="6860B0BA" w14:textId="102AB981" w:rsidR="00803F07" w:rsidRPr="002D7426" w:rsidRDefault="00803F07" w:rsidP="00803F07">
      <w:pPr>
        <w:rPr>
          <w:rFonts w:ascii="Helvetica" w:eastAsia="Times New Roman" w:hAnsi="Helvetica" w:cs="Calibri"/>
          <w:color w:val="000000"/>
          <w:vertAlign w:val="superscript"/>
        </w:rPr>
      </w:pPr>
      <w:r w:rsidRPr="00803F07">
        <w:rPr>
          <w:rFonts w:ascii="Helvetica" w:eastAsia="Times New Roman" w:hAnsi="Helvetica" w:cs="Calibri"/>
          <w:color w:val="000000"/>
        </w:rPr>
        <w:t>4. Reference ranges for AGP and CRP are as follows: 0.4 to 1.0 g/L in 5 to 50-year-old women and 0 to 5 mg/L in all people respectively.</w:t>
      </w:r>
      <w:r w:rsidRPr="002D7426">
        <w:rPr>
          <w:rFonts w:ascii="Helvetica" w:eastAsia="Times New Roman" w:hAnsi="Helvetica" w:cs="Calibri"/>
          <w:color w:val="000000"/>
          <w:vertAlign w:val="superscript"/>
        </w:rPr>
        <w:t>4, 5</w:t>
      </w:r>
    </w:p>
    <w:p w14:paraId="13509FFE" w14:textId="77777777" w:rsidR="00803F07" w:rsidRPr="002D7426" w:rsidRDefault="00803F07" w:rsidP="00803F07">
      <w:pPr>
        <w:rPr>
          <w:rFonts w:ascii="Helvetica" w:eastAsia="Times New Roman" w:hAnsi="Helvetica" w:cs="Calibri"/>
          <w:color w:val="000000"/>
          <w:vertAlign w:val="superscript"/>
        </w:rPr>
      </w:pPr>
    </w:p>
    <w:p w14:paraId="560887C0" w14:textId="77777777" w:rsidR="00803F07" w:rsidRPr="002D7426" w:rsidRDefault="00803F07" w:rsidP="00803F07">
      <w:pPr>
        <w:rPr>
          <w:rFonts w:ascii="Helvetica" w:eastAsia="Times New Roman" w:hAnsi="Helvetica" w:cs="Times New Roman"/>
        </w:rPr>
      </w:pPr>
    </w:p>
    <w:p w14:paraId="361588F0" w14:textId="77777777" w:rsidR="00803F07" w:rsidRPr="00803F07" w:rsidRDefault="00803F07" w:rsidP="00803F07">
      <w:pPr>
        <w:rPr>
          <w:rFonts w:ascii="Helvetica" w:eastAsia="Times New Roman" w:hAnsi="Helvetica" w:cs="Times New Roman"/>
        </w:rPr>
      </w:pPr>
    </w:p>
    <w:p w14:paraId="1FBA2357" w14:textId="77777777" w:rsidR="00803F07" w:rsidRPr="002D7426" w:rsidRDefault="00803F07" w:rsidP="00803F07">
      <w:pPr>
        <w:pStyle w:val="ListParagraph"/>
        <w:numPr>
          <w:ilvl w:val="0"/>
          <w:numId w:val="4"/>
        </w:numPr>
        <w:rPr>
          <w:rFonts w:ascii="Helvetica" w:hAnsi="Helvetica"/>
        </w:rPr>
      </w:pPr>
      <w:proofErr w:type="spellStart"/>
      <w:r w:rsidRPr="002D7426">
        <w:rPr>
          <w:rFonts w:ascii="Helvetica" w:hAnsi="Helvetica"/>
        </w:rPr>
        <w:t>Larqué</w:t>
      </w:r>
      <w:proofErr w:type="spellEnd"/>
      <w:r w:rsidRPr="002D7426">
        <w:rPr>
          <w:rFonts w:ascii="Helvetica" w:hAnsi="Helvetica"/>
        </w:rPr>
        <w:t xml:space="preserve"> E, Morales E, Leis R, Blanco-</w:t>
      </w:r>
      <w:proofErr w:type="spellStart"/>
      <w:r w:rsidRPr="002D7426">
        <w:rPr>
          <w:rFonts w:ascii="Helvetica" w:hAnsi="Helvetica"/>
        </w:rPr>
        <w:t>Carnero</w:t>
      </w:r>
      <w:proofErr w:type="spellEnd"/>
      <w:r w:rsidRPr="002D7426">
        <w:rPr>
          <w:rFonts w:ascii="Helvetica" w:hAnsi="Helvetica"/>
        </w:rPr>
        <w:t xml:space="preserve"> JE. Maternal and </w:t>
      </w:r>
      <w:proofErr w:type="spellStart"/>
      <w:r w:rsidRPr="002D7426">
        <w:rPr>
          <w:rFonts w:ascii="Helvetica" w:hAnsi="Helvetica"/>
        </w:rPr>
        <w:t>Foetal</w:t>
      </w:r>
      <w:proofErr w:type="spellEnd"/>
      <w:r w:rsidRPr="002D7426">
        <w:rPr>
          <w:rFonts w:ascii="Helvetica" w:hAnsi="Helvetica"/>
        </w:rPr>
        <w:t xml:space="preserve"> Health Implications of Vitamin D Status during Pregnancy. </w:t>
      </w:r>
      <w:r w:rsidRPr="002D7426">
        <w:rPr>
          <w:rFonts w:ascii="Helvetica" w:hAnsi="Helvetica"/>
          <w:i/>
          <w:iCs/>
        </w:rPr>
        <w:t xml:space="preserve">Ann </w:t>
      </w:r>
      <w:proofErr w:type="spellStart"/>
      <w:r w:rsidRPr="002D7426">
        <w:rPr>
          <w:rFonts w:ascii="Helvetica" w:hAnsi="Helvetica"/>
          <w:i/>
          <w:iCs/>
        </w:rPr>
        <w:t>Nutr</w:t>
      </w:r>
      <w:proofErr w:type="spellEnd"/>
      <w:r w:rsidRPr="002D7426">
        <w:rPr>
          <w:rFonts w:ascii="Helvetica" w:hAnsi="Helvetica"/>
          <w:i/>
          <w:iCs/>
        </w:rPr>
        <w:t xml:space="preserve"> </w:t>
      </w:r>
      <w:proofErr w:type="spellStart"/>
      <w:r w:rsidRPr="002D7426">
        <w:rPr>
          <w:rFonts w:ascii="Helvetica" w:hAnsi="Helvetica"/>
          <w:i/>
          <w:iCs/>
        </w:rPr>
        <w:t>Metab</w:t>
      </w:r>
      <w:proofErr w:type="spellEnd"/>
      <w:r w:rsidRPr="002D7426">
        <w:rPr>
          <w:rFonts w:ascii="Helvetica" w:hAnsi="Helvetica"/>
        </w:rPr>
        <w:t>. 2018;72(3):179-192. doi:</w:t>
      </w:r>
      <w:hyperlink r:id="rId5" w:history="1">
        <w:r w:rsidRPr="002D7426">
          <w:rPr>
            <w:rStyle w:val="Hyperlink"/>
            <w:rFonts w:ascii="Helvetica" w:hAnsi="Helvetica"/>
          </w:rPr>
          <w:t>10.1159/000487370</w:t>
        </w:r>
      </w:hyperlink>
    </w:p>
    <w:p w14:paraId="69F3DBB7" w14:textId="77777777" w:rsidR="00803F07" w:rsidRPr="002D7426" w:rsidRDefault="00803F07" w:rsidP="00803F07">
      <w:pPr>
        <w:pStyle w:val="ListParagraph"/>
        <w:numPr>
          <w:ilvl w:val="0"/>
          <w:numId w:val="4"/>
        </w:numPr>
        <w:rPr>
          <w:rFonts w:ascii="Helvetica" w:hAnsi="Helvetica"/>
        </w:rPr>
      </w:pPr>
      <w:proofErr w:type="spellStart"/>
      <w:r w:rsidRPr="002D7426">
        <w:rPr>
          <w:rFonts w:ascii="Helvetica" w:hAnsi="Helvetica"/>
        </w:rPr>
        <w:t>Abbassi-Ghanavati</w:t>
      </w:r>
      <w:proofErr w:type="spellEnd"/>
      <w:r w:rsidRPr="002D7426">
        <w:rPr>
          <w:rFonts w:ascii="Helvetica" w:hAnsi="Helvetica"/>
        </w:rPr>
        <w:t xml:space="preserve"> M, Greer LG, Cunningham FG. Pregnancy and Laboratory Studies: A Reference Table for Clinicians. </w:t>
      </w:r>
      <w:r w:rsidRPr="002D7426">
        <w:rPr>
          <w:rFonts w:ascii="Helvetica" w:hAnsi="Helvetica"/>
          <w:i/>
          <w:iCs/>
        </w:rPr>
        <w:t>Obstetrics &amp; Gynecology</w:t>
      </w:r>
      <w:r w:rsidRPr="002D7426">
        <w:rPr>
          <w:rFonts w:ascii="Helvetica" w:hAnsi="Helvetica"/>
        </w:rPr>
        <w:t>. 2009;114(6):1326-1331. doi:</w:t>
      </w:r>
      <w:hyperlink r:id="rId6" w:history="1">
        <w:r w:rsidRPr="002D7426">
          <w:rPr>
            <w:rStyle w:val="Hyperlink"/>
            <w:rFonts w:ascii="Helvetica" w:hAnsi="Helvetica"/>
          </w:rPr>
          <w:t>10.1097/AOG.0b013e3181c2bde8</w:t>
        </w:r>
      </w:hyperlink>
    </w:p>
    <w:p w14:paraId="15B173C8" w14:textId="77777777" w:rsidR="00803F07" w:rsidRPr="002D7426" w:rsidRDefault="00803F07" w:rsidP="00803F0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2D7426">
        <w:rPr>
          <w:rFonts w:ascii="Helvetica" w:hAnsi="Helvetica"/>
        </w:rPr>
        <w:t xml:space="preserve">Kim HO, Kim HS, </w:t>
      </w:r>
      <w:proofErr w:type="spellStart"/>
      <w:r w:rsidRPr="002D7426">
        <w:rPr>
          <w:rFonts w:ascii="Helvetica" w:hAnsi="Helvetica"/>
        </w:rPr>
        <w:t>Youn</w:t>
      </w:r>
      <w:proofErr w:type="spellEnd"/>
      <w:r w:rsidRPr="002D7426">
        <w:rPr>
          <w:rFonts w:ascii="Helvetica" w:hAnsi="Helvetica"/>
        </w:rPr>
        <w:t xml:space="preserve"> JC, Shin EC, Park S. Serum cytokine profiles in healthy young and elderly population assessed using multiplexed bead-based immunoassays. </w:t>
      </w:r>
      <w:r w:rsidRPr="002D7426">
        <w:rPr>
          <w:rFonts w:ascii="Helvetica" w:hAnsi="Helvetica"/>
          <w:i/>
          <w:iCs/>
        </w:rPr>
        <w:t xml:space="preserve">J </w:t>
      </w:r>
      <w:proofErr w:type="spellStart"/>
      <w:r w:rsidRPr="002D7426">
        <w:rPr>
          <w:rFonts w:ascii="Helvetica" w:hAnsi="Helvetica"/>
          <w:i/>
          <w:iCs/>
        </w:rPr>
        <w:t>Transl</w:t>
      </w:r>
      <w:proofErr w:type="spellEnd"/>
      <w:r w:rsidRPr="002D7426">
        <w:rPr>
          <w:rFonts w:ascii="Helvetica" w:hAnsi="Helvetica"/>
          <w:i/>
          <w:iCs/>
        </w:rPr>
        <w:t xml:space="preserve"> Med</w:t>
      </w:r>
      <w:r w:rsidRPr="002D7426">
        <w:rPr>
          <w:rFonts w:ascii="Helvetica" w:hAnsi="Helvetica"/>
        </w:rPr>
        <w:t>. 2011;9(1):113. doi:</w:t>
      </w:r>
      <w:hyperlink r:id="rId7" w:history="1">
        <w:r w:rsidRPr="002D7426">
          <w:rPr>
            <w:rStyle w:val="Hyperlink"/>
            <w:rFonts w:ascii="Helvetica" w:hAnsi="Helvetica"/>
          </w:rPr>
          <w:t>10.1186/1479-5876-9-113</w:t>
        </w:r>
      </w:hyperlink>
    </w:p>
    <w:p w14:paraId="047A0D01" w14:textId="2A0C3ED3" w:rsidR="00803F07" w:rsidRPr="002D7426" w:rsidRDefault="00803F07" w:rsidP="00803F07">
      <w:pPr>
        <w:pStyle w:val="ListParagraph"/>
        <w:numPr>
          <w:ilvl w:val="0"/>
          <w:numId w:val="4"/>
        </w:numPr>
        <w:ind w:right="96"/>
        <w:rPr>
          <w:rFonts w:ascii="Helvetica" w:hAnsi="Helvetica"/>
        </w:rPr>
      </w:pPr>
      <w:proofErr w:type="spellStart"/>
      <w:r w:rsidRPr="002D7426">
        <w:rPr>
          <w:rFonts w:ascii="Helvetica" w:hAnsi="Helvetica"/>
        </w:rPr>
        <w:t>Thurnham</w:t>
      </w:r>
      <w:proofErr w:type="spellEnd"/>
      <w:r w:rsidRPr="002D7426">
        <w:rPr>
          <w:rFonts w:ascii="Helvetica" w:hAnsi="Helvetica"/>
        </w:rPr>
        <w:t xml:space="preserve"> D, McCabe G, Northrop-</w:t>
      </w:r>
      <w:proofErr w:type="spellStart"/>
      <w:r w:rsidRPr="002D7426">
        <w:rPr>
          <w:rFonts w:ascii="Helvetica" w:hAnsi="Helvetica"/>
        </w:rPr>
        <w:t>Clewes</w:t>
      </w:r>
      <w:proofErr w:type="spellEnd"/>
      <w:r w:rsidRPr="002D7426">
        <w:rPr>
          <w:rFonts w:ascii="Helvetica" w:hAnsi="Helvetica"/>
        </w:rPr>
        <w:t xml:space="preserve"> C, </w:t>
      </w:r>
      <w:proofErr w:type="spellStart"/>
      <w:r w:rsidRPr="002D7426">
        <w:rPr>
          <w:rFonts w:ascii="Helvetica" w:hAnsi="Helvetica"/>
        </w:rPr>
        <w:t>Nestel</w:t>
      </w:r>
      <w:proofErr w:type="spellEnd"/>
      <w:r w:rsidRPr="002D7426">
        <w:rPr>
          <w:rFonts w:ascii="Helvetica" w:hAnsi="Helvetica"/>
        </w:rPr>
        <w:t xml:space="preserve"> P. Effects of subclinical infection on plasma retinol concentrations and assessment of prevalence of vitamin A deficiency: meta-analysis. </w:t>
      </w:r>
      <w:r w:rsidRPr="002D7426">
        <w:rPr>
          <w:rFonts w:ascii="Helvetica" w:hAnsi="Helvetica"/>
          <w:i/>
          <w:iCs/>
        </w:rPr>
        <w:t>The Lancet</w:t>
      </w:r>
      <w:r w:rsidRPr="002D7426">
        <w:rPr>
          <w:rFonts w:ascii="Helvetica" w:hAnsi="Helvetica"/>
        </w:rPr>
        <w:t>. 2003;362(9401):2052-2058. doi:</w:t>
      </w:r>
      <w:hyperlink r:id="rId8" w:history="1">
        <w:r w:rsidRPr="002D7426">
          <w:rPr>
            <w:rStyle w:val="Hyperlink"/>
            <w:rFonts w:ascii="Helvetica" w:hAnsi="Helvetica"/>
          </w:rPr>
          <w:t>10.1016/S0140-6736(03)15099-4</w:t>
        </w:r>
      </w:hyperlink>
    </w:p>
    <w:p w14:paraId="71846E4D" w14:textId="27EA976B" w:rsidR="00803F07" w:rsidRPr="002D7426" w:rsidRDefault="00803F07" w:rsidP="00803F07">
      <w:pPr>
        <w:pStyle w:val="ListParagraph"/>
        <w:numPr>
          <w:ilvl w:val="0"/>
          <w:numId w:val="4"/>
        </w:numPr>
        <w:spacing w:after="240"/>
        <w:ind w:right="96"/>
        <w:rPr>
          <w:rFonts w:ascii="Helvetica" w:hAnsi="Helvetica"/>
        </w:rPr>
      </w:pPr>
      <w:r w:rsidRPr="002D7426">
        <w:rPr>
          <w:rFonts w:ascii="Helvetica" w:hAnsi="Helvetica"/>
        </w:rPr>
        <w:t xml:space="preserve">Erhardt JG, Estes JE, Pfeiffer CM, </w:t>
      </w:r>
      <w:proofErr w:type="spellStart"/>
      <w:r w:rsidRPr="002D7426">
        <w:rPr>
          <w:rFonts w:ascii="Helvetica" w:hAnsi="Helvetica"/>
        </w:rPr>
        <w:t>Biesalski</w:t>
      </w:r>
      <w:proofErr w:type="spellEnd"/>
      <w:r w:rsidRPr="002D7426">
        <w:rPr>
          <w:rFonts w:ascii="Helvetica" w:hAnsi="Helvetica"/>
        </w:rPr>
        <w:t xml:space="preserve"> HK, Craft NE. Combined Measurement of Ferritin, Soluble Transferrin Receptor, Retinol Binding Protein, and C-Reactive Protein by an Inexpensive, Sensitive, and Simple Sandwich Enzyme-Linked Immunosorbent Assay Technique. </w:t>
      </w:r>
      <w:r w:rsidRPr="002D7426">
        <w:rPr>
          <w:rFonts w:ascii="Helvetica" w:hAnsi="Helvetica"/>
          <w:i/>
          <w:iCs/>
        </w:rPr>
        <w:t>The Journal of Nutrition</w:t>
      </w:r>
      <w:r w:rsidRPr="002D7426">
        <w:rPr>
          <w:rFonts w:ascii="Helvetica" w:hAnsi="Helvetica"/>
        </w:rPr>
        <w:t>. 2004;134(11):3127-3132. doi:</w:t>
      </w:r>
      <w:hyperlink r:id="rId9" w:history="1">
        <w:r w:rsidRPr="002D7426">
          <w:rPr>
            <w:rStyle w:val="Hyperlink"/>
            <w:rFonts w:ascii="Helvetica" w:hAnsi="Helvetica"/>
          </w:rPr>
          <w:t>10.1093/</w:t>
        </w:r>
        <w:proofErr w:type="spellStart"/>
        <w:r w:rsidRPr="002D7426">
          <w:rPr>
            <w:rStyle w:val="Hyperlink"/>
            <w:rFonts w:ascii="Helvetica" w:hAnsi="Helvetica"/>
          </w:rPr>
          <w:t>jn</w:t>
        </w:r>
        <w:proofErr w:type="spellEnd"/>
        <w:r w:rsidRPr="002D7426">
          <w:rPr>
            <w:rStyle w:val="Hyperlink"/>
            <w:rFonts w:ascii="Helvetica" w:hAnsi="Helvetica"/>
          </w:rPr>
          <w:t>/134.11.3127</w:t>
        </w:r>
      </w:hyperlink>
    </w:p>
    <w:sectPr w:rsidR="00803F07" w:rsidRPr="002D7426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F52838"/>
    <w:multiLevelType w:val="hybridMultilevel"/>
    <w:tmpl w:val="CBE23390"/>
    <w:lvl w:ilvl="0" w:tplc="A1A84992">
      <w:start w:val="1"/>
      <w:numFmt w:val="decimal"/>
      <w:lvlText w:val="%1."/>
      <w:lvlJc w:val="left"/>
      <w:pPr>
        <w:ind w:left="720" w:hanging="360"/>
      </w:pPr>
      <w:rPr>
        <w:rFonts w:ascii="Helvetica" w:hAnsi="Helvetica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5978845">
    <w:abstractNumId w:val="2"/>
  </w:num>
  <w:num w:numId="2" w16cid:durableId="1239755227">
    <w:abstractNumId w:val="3"/>
  </w:num>
  <w:num w:numId="3" w16cid:durableId="799300294">
    <w:abstractNumId w:val="0"/>
  </w:num>
  <w:num w:numId="4" w16cid:durableId="89092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0087"/>
    <w:rsid w:val="001D75AB"/>
    <w:rsid w:val="002D7426"/>
    <w:rsid w:val="0035500D"/>
    <w:rsid w:val="00362E65"/>
    <w:rsid w:val="004158F9"/>
    <w:rsid w:val="00457CF1"/>
    <w:rsid w:val="00747CCE"/>
    <w:rsid w:val="007B3E96"/>
    <w:rsid w:val="00803F07"/>
    <w:rsid w:val="008F1F48"/>
    <w:rsid w:val="00901463"/>
    <w:rsid w:val="00946CB3"/>
    <w:rsid w:val="00AE18EF"/>
    <w:rsid w:val="00AE1BDD"/>
    <w:rsid w:val="00B3547C"/>
    <w:rsid w:val="00B4379D"/>
    <w:rsid w:val="00B57B27"/>
    <w:rsid w:val="00C27329"/>
    <w:rsid w:val="00C31EEB"/>
    <w:rsid w:val="00F12158"/>
    <w:rsid w:val="00FB63E7"/>
    <w:rsid w:val="00FC557F"/>
    <w:rsid w:val="00F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2C32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rmalWeb">
    <w:name w:val="Normal (Web)"/>
    <w:basedOn w:val="Normal"/>
    <w:uiPriority w:val="99"/>
    <w:semiHidden/>
    <w:unhideWhenUsed/>
    <w:rsid w:val="00803F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3F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F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49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8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79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70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1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47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07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88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4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96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02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31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4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3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8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88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9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9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80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8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7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28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140-6736(03)15099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86/1479-5876-9-1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7/AOG.0b013e3181c2bde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59/0004873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jn/134.11.3127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Jamshed, Farheen</dc:creator>
  <cp:keywords/>
  <dc:description/>
  <cp:lastModifiedBy>Jamshed, Farheen</cp:lastModifiedBy>
  <cp:revision>3</cp:revision>
  <dcterms:created xsi:type="dcterms:W3CDTF">2023-04-17T21:32:00Z</dcterms:created>
  <dcterms:modified xsi:type="dcterms:W3CDTF">2023-04-17T21:32:00Z</dcterms:modified>
  <cp:category/>
</cp:coreProperties>
</file>