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Nutrition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Vitamin D (nmol/L)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54.79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55.48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55.39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 (-0.2,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Log ferritin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(-0.17,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0.22 (-0.03, 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(-0.19,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Log sTfR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0.11 (-0.19,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Log RBP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0.14 (-0.06, 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0.05 (-0.22,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 (-0.22,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Vit A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-0.36 (-0.78,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-0.44 (-0.81,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(-0.46,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-0.12 (-0.34,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-0.17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 (-0.17,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Vitamin D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 (-0.2, 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(-0.25,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 (-0.2, 0.32)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Serum stress biomarker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pregnancy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-0.21 (-0.52,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 (-0.27,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2.48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 (-0.29, 0.15)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0.56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Inflammation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Log CRP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-0.03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0.03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0.02 (-0.11,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Log AGP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(-0.11,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Initial IFNG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-0.02 (-0.16,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9.72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0.01 (-0.13,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Inflammation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 (-0.13,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0.04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-0.64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-0.28 (-0.57, 0.01)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152"/>
        <w:gridCol w:w="1152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Estriol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Ln estriol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-0.01 (-0.14,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-0.19 (-0.5,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Telomere Change Year 1 and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387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1.71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-0.08 (-0.22,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N, 25th Percentile, and 75th Percentile are from the 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4"/>
                <w:szCs w:val="14"/>
                <w:color w:val="000000"/>
              </w:rPr>
              <w:t xml:space="preserve">* P-value &lt; 0.2 after adjusting for multiple comparisons using the Benjamini-Hochberg procedure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2021-08-21T16:02:22Z</dcterms:modified>
  <cp:category/>
</cp:coreProperties>
</file>