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Updated EMM Table: Effect modification of maternal micronutrients and child telomere length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micronutrients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RBP (umol/L)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(-0.09, 0.37)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(-0.06,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(-0.22,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(-0.22,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(-0.15,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-0.71 (-1.74,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-0.69 (-1.33,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 (-1.67,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 (-1.65,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25(OH)D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(-0.25,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 (-0.2,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(-0.38,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(-0.26,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(-0.33,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(-0.35,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(-0.21,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(-0.19,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 (-0.04,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 (-0.07,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(-0.14,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(-0.29,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(-0.32,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 (-0.1,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(-0.47,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(-0.39,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 (-0.49,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(-0.39,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(-0.49,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(-0.12, 0.47)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2024-05-28T13:50:09Z</dcterms:modified>
  <cp:category/>
</cp:coreProperties>
</file>