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micronutrients and child telomere length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micronutrients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(-0.35, 0.05)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(-0.25,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 (-0.2,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(-0.26,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(-0.35,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(-0.21,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(-0.09,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(-0.06,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(-0.22,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(-0.22,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(-0.15,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-0.71 (-1.74,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-0.69 (-1.33,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 (-1.67,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 (-1.65,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(-0.19,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 (-0.04,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(-0.07,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(-0.14,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(-0.29,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(-0.32,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(-0.1,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(-0.47,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(-0.39,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 (-0.49,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(-0.49,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(-0.12, 0.47)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2024-05-23T14:25:52Z</dcterms:modified>
  <cp:category/>
</cp:coreProperties>
</file>