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B0ED" w14:textId="77777777" w:rsidR="002558A4" w:rsidRPr="00236ED0" w:rsidRDefault="002558A4" w:rsidP="002558A4">
      <w:pPr>
        <w:rPr>
          <w:rFonts w:ascii="Times New Roman" w:hAnsi="Times New Roman" w:cs="Times New Roman"/>
          <w:b/>
          <w:bCs/>
          <w:sz w:val="24"/>
          <w:szCs w:val="24"/>
        </w:rPr>
      </w:pPr>
      <w:r>
        <w:rPr>
          <w:rFonts w:ascii="Times New Roman" w:hAnsi="Times New Roman" w:cs="Times New Roman"/>
          <w:b/>
          <w:bCs/>
          <w:sz w:val="24"/>
          <w:szCs w:val="24"/>
        </w:rPr>
        <w:t>Introduction:</w:t>
      </w:r>
    </w:p>
    <w:p w14:paraId="74A25281" w14:textId="2FE8A9D6" w:rsidR="002558A4" w:rsidRDefault="002558A4" w:rsidP="002558A4">
      <w:pPr>
        <w:rPr>
          <w:rFonts w:ascii="Times New Roman" w:hAnsi="Times New Roman" w:cs="Times New Roman"/>
          <w:sz w:val="24"/>
          <w:szCs w:val="24"/>
        </w:rPr>
      </w:pPr>
      <w:r>
        <w:rPr>
          <w:rFonts w:ascii="Times New Roman" w:hAnsi="Times New Roman" w:cs="Times New Roman"/>
          <w:sz w:val="24"/>
          <w:szCs w:val="24"/>
        </w:rPr>
        <w:t xml:space="preserve">Since December 2019, there have been over </w:t>
      </w:r>
      <w:r w:rsidR="00AA6B49">
        <w:rPr>
          <w:rFonts w:ascii="Times New Roman" w:hAnsi="Times New Roman" w:cs="Times New Roman"/>
          <w:sz w:val="24"/>
          <w:szCs w:val="24"/>
        </w:rPr>
        <w:t>76</w:t>
      </w:r>
      <w:r>
        <w:rPr>
          <w:rFonts w:ascii="Times New Roman" w:hAnsi="Times New Roman" w:cs="Times New Roman"/>
          <w:sz w:val="24"/>
          <w:szCs w:val="24"/>
        </w:rPr>
        <w:t>0 million confirmed cases, and over 6.5 million deaths, due to SARS-CoV-2 during the COVID-19 pandemic.</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{"citationID":"6biQ3pzW","properties":{"formattedCitation":"\\super 1\\nosupersub{}","plainCitation":"1","noteIndex":0},"citationItems":[{"id":1494,"uris":["http://zotero.org/groups/4817000/items/PAQVP2VT"],"itemData":{"id":1494,"type":"webpage","abstract":"World Health Organization Coronavirus disease situation dashboard presents official daily counts of COVID-19 cases and deaths worldwide, along with vaccination rates and other vaccination data, while providing a hub to other resources. Interactive tools, including maps, epidemic curves and other charts and graphics, with downloadable data, allow users to track and explore the latest trends, numbers and statistics at global, regional and country levels.","language":"en","title":"WHO Coronavirus (COVID-19) Dashboard","URL":"https://covid19.who.int","author":[{"literal":"World Health Organization"}],"accessed":{"date-parts":[["2022",12,29]]}}}],"schema":"https://github.com/citation-style-language/schema/raw/master/csl-citation.json"} </w:instrText>
      </w:r>
      <w:r>
        <w:rPr>
          <w:rFonts w:ascii="Times New Roman" w:hAnsi="Times New Roman" w:cs="Times New Roman"/>
          <w:sz w:val="24"/>
          <w:szCs w:val="24"/>
        </w:rPr>
        <w:fldChar w:fldCharType="separate"/>
      </w:r>
      <w:r w:rsidRPr="00725131">
        <w:rPr>
          <w:rFonts w:ascii="Times New Roman" w:hAnsi="Times New Roman" w:cs="Times New Roman"/>
          <w:sz w:val="24"/>
          <w:vertAlign w:val="superscript"/>
        </w:rPr>
        <w:t>1</w:t>
      </w:r>
      <w:r>
        <w:rPr>
          <w:rFonts w:ascii="Times New Roman" w:hAnsi="Times New Roman" w:cs="Times New Roman"/>
          <w:sz w:val="24"/>
          <w:szCs w:val="24"/>
        </w:rPr>
        <w:fldChar w:fldCharType="end"/>
      </w:r>
      <w:r>
        <w:rPr>
          <w:rFonts w:ascii="Times New Roman" w:hAnsi="Times New Roman" w:cs="Times New Roman"/>
          <w:sz w:val="24"/>
          <w:szCs w:val="24"/>
        </w:rPr>
        <w:t xml:space="preserve"> The impacts of this novel coronavirus have necessitated the need to broaden our scientific understandings of how such viruses can affect human populations. One key area of concern was how COVID-19 infection could uniquely affect pregnant individuals and their neonates. A continually growing area of research, we have found mixed results on COVID-19’s impact on maternal and child health during pregnancy, especially in different world areas.</w:t>
      </w:r>
    </w:p>
    <w:p w14:paraId="124419F9" w14:textId="77777777" w:rsidR="002558A4" w:rsidRDefault="002558A4" w:rsidP="002558A4">
      <w:pPr>
        <w:rPr>
          <w:rFonts w:ascii="Times New Roman" w:hAnsi="Times New Roman" w:cs="Times New Roman"/>
          <w:sz w:val="24"/>
          <w:szCs w:val="24"/>
        </w:rPr>
      </w:pPr>
      <w:r>
        <w:rPr>
          <w:rFonts w:ascii="Times New Roman" w:hAnsi="Times New Roman" w:cs="Times New Roman"/>
          <w:sz w:val="24"/>
          <w:szCs w:val="24"/>
        </w:rPr>
        <w:t xml:space="preserve">Several studies have examined the effects of SARS-CoV-2 infection on pregnancy outcomes. One Turkish study found that mothers infected with COVID-19 experienced higher rates of maternal mortality, preterm birth, and </w:t>
      </w:r>
      <w:r w:rsidRPr="00683D60">
        <w:rPr>
          <w:rFonts w:ascii="Times New Roman" w:hAnsi="Times New Roman" w:cs="Times New Roman"/>
          <w:sz w:val="24"/>
          <w:szCs w:val="24"/>
        </w:rPr>
        <w:t>cesarean section</w:t>
      </w:r>
      <w:r>
        <w:rPr>
          <w:rFonts w:ascii="Times New Roman" w:hAnsi="Times New Roman" w:cs="Times New Roman"/>
          <w:sz w:val="24"/>
          <w:szCs w:val="24"/>
        </w:rPr>
        <w:t xml:space="preserve"> delivery.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{"citationID":"k5ETOO1h","properties":{"formattedCitation":"\\super 2\\nosupersub{}","plainCitation":"2","noteIndex":0},"citationItems":[{"id":1320,"uris":["http://zotero.org/groups/4817000/items/XJH8J7BE"],"itemData":{"id":1320,"type":"article-journal","abstract":"Limited data are available on pregnant women with COVID-19 and their neonates. We aimed to evaluate the epidemiological and clinical characteristics of newborns born to women infected with COVID-19. A multicenter cohort study was conducted among newborns born to mothers with COVID-19 in 34 neonatal intensive care units (NICUs) in Turkey. Pregnant women (n = 125) who had a positive RT-PCR test and their newborns were enrolled. Cesarean section, prematurity, and low-birthweight infant rates were 71.2%, 26.4%, and 12.8%, respectively. Eight of 125 mothers (6.4%) were admitted to an intensive care unit for mechanical ventilation, among whom six died (4.8%). Majority of the newborns (86.4%) were followed in isolation rooms in the NICU. Four of 120 newborns (3.3%) had a positive RT-PCR test result. Although samples taken on the first day were negative, one neonate became positive on the second day and the other two on the fifth day. Sample from deep tracheal aspirate was positive on the first day in an intubated case.Conclusion: COVID-19 in pregnant women has important impacts on perinatal and neonatal outcomes. Maternal mortality, higher rates of preterm birth and cesarean section, suspected risk of vertical transmission, and low rate of breastfeeding show that family support should be a part of the care in the NICU.Trial registration: ClinicalTrials.gov identifier: NCT04401540 What is Known: • The common property of previous reports was the conclusions on maternal outcomes, rather than neonatal outcomes. • Published data showed similar outcomes between COVID-19 pregnant women and others. What is New: • Higher maternal mortality, higher rates of preterm birth and cesarean section, suspected risk of vertical transmission especially in a case with deep tracheal aspiration during the intubation, and the possible role of maternal disease severity on the outcomes are remarkable findings of this study. • In contrast to recommendation for breastfeeding, parents' preference to formula and expressed breast milk due to anxiety and lack of information shows that family support should be a part of the care in the NICU.","container-title":"European Journal of Pediatrics","DOI":"10.1007/s00431-020-03767-5","ISSN":"1432-1076","issue":"3","journalAbbreviation":"Eur J Pediatr","language":"eng","note":"PMID: 32776309\nPMCID: PMC7416592","page":"733-742","source":"PubMed","title":"A multicenter study on epidemiological and clinical characteristics of 125 newborns born to women infected with COVID-19 by Turkish Neonatal Society","volume":"180","author":[{"family":"Oncel","given":"Mehmet Yekta"},{"family":"Akın","given":"Ilke Mungan"},{"family":"Kanburoglu","given":"Mehmet Kenan"},{"family":"Tayman","given":"Cuneyt"},{"family":"Coskun","given":"Senay"},{"family":"Narter","given":"Fatma"},{"family":"Er","given":"Ilkay"},{"family":"Oncan","given":"Tinatin Gelenava"},{"family":"Memisoglu","given":"Asli"},{"family":"Cetinkaya","given":"Merih"},{"family":"Oguz","given":"Demet"},{"family":"Erdeve","given":"Omer"},{"family":"Koc","given":"Esin"},{"literal":"Neo-Covid Study Group"}],"issued":{"date-parts":[["2021",3]]}}}],"schema":"https://github.com/citation-style-language/schema/raw/master/csl-citation.json"} </w:instrText>
      </w:r>
      <w:r>
        <w:rPr>
          <w:rFonts w:ascii="Times New Roman" w:hAnsi="Times New Roman" w:cs="Times New Roman"/>
          <w:sz w:val="24"/>
          <w:szCs w:val="24"/>
        </w:rPr>
        <w:fldChar w:fldCharType="separate"/>
      </w:r>
      <w:r w:rsidRPr="00683D60">
        <w:rPr>
          <w:rFonts w:ascii="Times New Roman" w:hAnsi="Times New Roman" w:cs="Times New Roman"/>
          <w:sz w:val="24"/>
          <w:vertAlign w:val="superscript"/>
        </w:rPr>
        <w:t>2</w:t>
      </w:r>
      <w:r>
        <w:rPr>
          <w:rFonts w:ascii="Times New Roman" w:hAnsi="Times New Roman" w:cs="Times New Roman"/>
          <w:sz w:val="24"/>
          <w:szCs w:val="24"/>
        </w:rPr>
        <w:fldChar w:fldCharType="end"/>
      </w:r>
      <w:r>
        <w:rPr>
          <w:rFonts w:ascii="Times New Roman" w:hAnsi="Times New Roman" w:cs="Times New Roman"/>
          <w:sz w:val="24"/>
          <w:szCs w:val="24"/>
        </w:rPr>
        <w:t xml:space="preserve"> One review article summarized that COVID-19 infections in pregnant mothers have been associated with preeclampsia, preterm birth, and stillbirth, and that these effects (plus low birthweight) are stronger in cases of severe COVID-19 infection.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{"citationID":"NfaAofNn","properties":{"formattedCitation":"\\super 3\\nosupersub{}","plainCitation":"3","noteIndex":0},"citationItems":[{"id":1352,"uris":["http://zotero.org/groups/4817000/items/5UD7WBNE"],"itemData":{"id":1352,"type":"article-journal","abstract":"BACKGROUND: The impact of coronavirus disease 2019 (COVID-19) on maternal and newborn health is unclear. We aimed to evaluate the association between severe acute respiratory syndrome coronavirus 2 (SARS-CoV-2) infection during pregnancy and adverse pregnancy outcomes.\nMETHODS: We conducted a systematic review and meta-analysis of observational studies with comparison data on SARS-CoV-2 infection and severity of COVID-19 during pregnancy. We searched for eligible studies in MEDLINE, Embase, ClinicalTrials.gov, medRxiv and Cochrane databases up to Jan. 29, 2021, using Medical Subject Headings terms and keywords for \"severe acute respiratory syndrome coronavirus 2 OR SARS-CoV-2 OR coronavirus disease 2019 OR COVID-19\" AND \"pregnancy.\" We evaluated the methodologic quality of all included studies using the Newcastle-Ottawa Scale. Our primary outcomes were preeclampsia and preterm birth. Secondary outcomes included stillbirth, gestational diabetes and other pregnancy outcomes. We calculated summary odds ratios (ORs) or weighted mean differences with 95% confidence intervals (CI) using random-effects meta-analysis.\nRESULTS: We included 42 studies involving 438 548 people who were pregnant. Compared with no SARS-CoV-2 infection in pregnancy, COVID-19 was associated with preeclampsia (OR 1.33, 95% CI 1.03 to 1.73), preterm birth (OR 1.82, 95% CI 1.38 to 2.39) and stillbirth (OR 2.11, 95% CI 1.14 to 3.90). Compared with mild COVID-19, severe COVID-19 was strongly associated with preeclampsia (OR 4.16, 95% CI 1.55 to 11.15), preterm birth (OR 4.29, 95% CI 2.41 to 7.63), gestational diabetes (OR 1.99, 95% CI 1.09 to 3.64) and low birth weight (OR 1.89, 95% CI 1.14 to 3.12).\nINTERPRETATION: COVID-19 may be associated with increased risks of preeclampsia, preterm birth and other adverse pregnancy outcomes.","container-title":"CMAJ: Canadian Medical Association journal = journal de l'Association medicale canadienne","DOI":"10.1503/cmaj.202604","ISSN":"1488-2329","issue":"16","journalAbbreviation":"CMAJ","language":"eng","note":"PMID: 33741725\nPMCID: PMC8084555","page":"E540-E548","source":"PubMed","title":"The impact of COVID-19 on pregnancy outcomes: a systematic review and meta-analysis","title-short":"The impact of COVID-19 on pregnancy outcomes","volume":"193","author":[{"family":"Wei","given":"Shu Qin"},{"family":"Bilodeau-Bertrand","given":"Marianne"},{"family":"Liu","given":"Shiliang"},{"family":"Auger","given":"Nathalie"}],"issued":{"date-parts":[["2021",4,19]]}}}],"schema":"https://github.com/citation-style-language/schema/raw/master/csl-citation.json"} </w:instrText>
      </w:r>
      <w:r>
        <w:rPr>
          <w:rFonts w:ascii="Times New Roman" w:hAnsi="Times New Roman" w:cs="Times New Roman"/>
          <w:sz w:val="24"/>
          <w:szCs w:val="24"/>
        </w:rPr>
        <w:fldChar w:fldCharType="separate"/>
      </w:r>
      <w:r w:rsidRPr="00683D60">
        <w:rPr>
          <w:rFonts w:ascii="Times New Roman" w:hAnsi="Times New Roman" w:cs="Times New Roman"/>
          <w:sz w:val="24"/>
          <w:vertAlign w:val="superscript"/>
        </w:rPr>
        <w:t>3</w:t>
      </w:r>
      <w:r>
        <w:rPr>
          <w:rFonts w:ascii="Times New Roman" w:hAnsi="Times New Roman" w:cs="Times New Roman"/>
          <w:sz w:val="24"/>
          <w:szCs w:val="24"/>
        </w:rPr>
        <w:fldChar w:fldCharType="end"/>
      </w:r>
    </w:p>
    <w:p w14:paraId="59A529B7" w14:textId="0BC840B3" w:rsidR="002558A4" w:rsidRDefault="002558A4" w:rsidP="002558A4">
      <w:pPr>
        <w:rPr>
          <w:rFonts w:ascii="Times New Roman" w:hAnsi="Times New Roman" w:cs="Times New Roman"/>
          <w:sz w:val="24"/>
          <w:szCs w:val="24"/>
        </w:rPr>
      </w:pPr>
      <w:r>
        <w:rPr>
          <w:rFonts w:ascii="Times New Roman" w:hAnsi="Times New Roman" w:cs="Times New Roman"/>
          <w:sz w:val="24"/>
          <w:szCs w:val="24"/>
        </w:rPr>
        <w:t xml:space="preserve">Air pollution is a pressing environmental challenge which can have disastrous consequences on the climate and on human health. Particulate matter (PM) sources are classified by their size, where PM2.5 have a </w:t>
      </w:r>
      <w:r w:rsidRPr="00DE6846">
        <w:rPr>
          <w:rFonts w:ascii="Times New Roman" w:hAnsi="Times New Roman" w:cs="Times New Roman"/>
          <w:sz w:val="24"/>
          <w:szCs w:val="24"/>
        </w:rPr>
        <w:t>diameter less than 2.5</w:t>
      </w:r>
      <w:r>
        <w:rPr>
          <w:rFonts w:ascii="Times New Roman" w:hAnsi="Times New Roman" w:cs="Times New Roman"/>
          <w:sz w:val="24"/>
          <w:szCs w:val="24"/>
        </w:rPr>
        <w:t xml:space="preserve"> </w:t>
      </w:r>
      <w:proofErr w:type="spellStart"/>
      <w:r w:rsidRPr="00DE6846">
        <w:rPr>
          <w:rFonts w:ascii="Times New Roman" w:hAnsi="Times New Roman" w:cs="Times New Roman"/>
          <w:sz w:val="24"/>
          <w:szCs w:val="24"/>
        </w:rPr>
        <w:t>μm</w:t>
      </w:r>
      <w:proofErr w:type="spellEnd"/>
      <w:r>
        <w:rPr>
          <w:rFonts w:ascii="Times New Roman" w:hAnsi="Times New Roman" w:cs="Times New Roman"/>
          <w:sz w:val="24"/>
          <w:szCs w:val="24"/>
        </w:rPr>
        <w:t>, and PM10 have a diameter less than</w:t>
      </w:r>
      <w:r w:rsidRPr="00DE6846">
        <w:rPr>
          <w:rFonts w:ascii="Times New Roman" w:hAnsi="Times New Roman" w:cs="Times New Roman"/>
          <w:sz w:val="24"/>
          <w:szCs w:val="24"/>
        </w:rPr>
        <w:t xml:space="preserve"> 10 </w:t>
      </w:r>
      <w:proofErr w:type="spellStart"/>
      <w:r w:rsidRPr="00DE6846">
        <w:rPr>
          <w:rFonts w:ascii="Times New Roman" w:hAnsi="Times New Roman" w:cs="Times New Roman"/>
          <w:sz w:val="24"/>
          <w:szCs w:val="24"/>
        </w:rPr>
        <w:t>μm</w:t>
      </w:r>
      <w:proofErr w:type="spellEnd"/>
      <w:r>
        <w:rPr>
          <w:rFonts w:ascii="Times New Roman" w:hAnsi="Times New Roman" w:cs="Times New Roman"/>
          <w:sz w:val="24"/>
          <w:szCs w:val="24"/>
        </w:rPr>
        <w:t>. Both PM2.5 and PM10 are known to be associated with adverse respiratory health outcomes, including pneumonia and lung disease.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{"citationID":"eX5TKNx2","properties":{"formattedCitation":"\\super 4\\uc0\\u8211{}6\\nosupersub{}","plainCitation":"4–6","noteIndex":0},"citationItems":[{"id":1154,"uris":["http://zotero.org/groups/4817000/items/7VXBSMIT"],"itemData":{"id":1154,"type":"article-journal","abstract":"Several epidemiological studies have suggested a link between air pollution and respiratory tract infections. The outbreak of coronavirus disease 2019 (COVID-19) poses a great threat to public health worldwide. However, some parts of the globe have been worse affected in terms of prevalence and deaths than others. The causes and conditions of such variations have yet to be explored. Although some studies indicated a possible correlation between air pollution and COVID-19 severity, there is yet insufficient data for a meaningful answer. This review summarizes the impact of air pollution on COVID-19 infections and severity and discusses the possible management strategies and challenges involved. The available literature investigating the correlation between air pollution and COVID-19 infections and mortality are included in the review. The studies reviewed here suggest that exposure to air pollution, particularly to PM2.5 and NO2 , is positively correlated with COVID-19 infections and mortality. Some data indicate that air pollution can play an important role in the airborne transmission of SARS-CoV-2. A high percentage of COVID-19 incidences has been reported in the most polluted areas, where patients needed hospital admission. The available data also show that both short-term and long-term air pollution may enhance COVID-19 severity. However, most of the studies that showed a link between air pollution and COVID-19 infections and mortality did not consider potential confounders during the correlation analysis. Therefore, more specific studies need to be performed focusing on some additional confounders such as individual age, population density, and pre-existing comorbidities to determine the impact of air pollution on COVID-19 infections and deaths. Integr Environ Assess Manag 2021;17:1114-1122. © 2021 SETAC.","container-title":"Integrated Environmental Assessment and Management","DOI":"10.1002/ieam.4435","ISSN":"1551-3793","issue":"6","journalAbbreviation":"Integr Environ Assess Manag","language":"eng","note":"PMID: 33913626\nPMCID: PMC8239695","page":"1114-1122","source":"PubMed","title":"Exposure to air pollution and COVID-19 severity: A review of current insights, management, and challenges","title-short":"Exposure to air pollution and COVID-19 severity","volume":"17","author":[{"family":"Ali","given":"Nurshad"},{"family":"Fariha","given":"Khandaker A."},{"family":"Islam","given":"Farjana"},{"family":"Mishu","given":"Moshiul A."},{"family":"Mohanto","given":"Nayan C."},{"family":"Hosen","given":"Mohammad J."},{"family":"Hossain","given":"Khaled"}],"issued":{"date-parts":[["2021",11]]}}},{"id":1399,"uris":["http://zotero.org/groups/4817000/items/DRYZECFZ"],"itemData":{"id":1399,"type":"article-journal","abstract":"Epidemiology has played an important role in the understanding of air pollution as a risk factor for respiratory disease and in the evidence base for air quality standards. With the widespread availability of genetic information and increasingly sophisticated measurements of molecular markers of adverse effects, there is a need for more specific and precise assessment of exposure to maximize the potential information to be derived from epidemiologic studies. Here advances in air pollution exposure assessment and their applications to studies of respiratory disease are reviewed, with a focus on recent studies of traffic-related air pollution and asthma. Although continuous measurements of personal exposures for all study subjects for a complete study period might be considered the desired \"gold standard\" for exposure, this is rarely, if ever, achieved due to feasibility constraints. Given this, exposure is typically estimated using models. Recent applications of geospatial (e.g., land use regression) models to studies of respiratory disease have made possible new study designs focused on spatial variability in exposure within urban areas and have provided new insights into the potential role of traffic-related air pollution (TRAP) as a risk factor for the development of childhood asthma. Substantial uncertainty remains, however, regarding what agent(s) within TRAP might be responsible for the observed associations. Future research will require increasing the specificity of exposure assessment to identify the potential roles of individual air pollution components, to elucidate potential mechanisms, and to facilitate studies of mixtures and gene-air pollution interactions.","container-title":"Proceedings of the American Thoracic Society","DOI":"10.1513/pats.200908-093RM","ISSN":"1943-5665","issue":"2","journalAbbreviation":"Proc Am Thorac Soc","language":"eng","note":"PMID: 20427581","page":"111-115","source":"PubMed","title":"How much, how long, what, and where: air pollution exposure assessment for epidemiologic studies of respiratory disease","title-short":"How much, how long, what, and where","volume":"7","author":[{"family":"Brauer","given":"Michael"}],"issued":{"date-parts":[["2010",5]]}}},{"id":1401,"uris":["http://zotero.org/groups/4817000/items/2KPE3LRQ"],"itemData":{"id":1401,"type":"article-journal","container-title":"Nature","DOI":"10.1038/nature15371","ISSN":"0028-0836, 1476-4687","issue":"7569","journalAbbreviation":"Nature","language":"en","page":"367-371","source":"DOI.org (Crossref)","title":"The contribution of outdoor air pollution sources to premature mortality on a global scale","volume":"525","author":[{"family":"Lelieveld","given":"J."},{"family":"Evans","given":"J. S."},{"family":"Fnais","given":"M."},{"family":"Giannadaki","given":"D."},{"family":"Pozzer","given":"A."}],"issued":{"date-parts":[["2015",9]]}}}],"schema":"https://github.com/citation-style-language/schema/raw/master/csl-citation.json"} </w:instrText>
      </w:r>
      <w:r>
        <w:rPr>
          <w:rFonts w:ascii="Times New Roman" w:hAnsi="Times New Roman" w:cs="Times New Roman"/>
          <w:sz w:val="24"/>
          <w:szCs w:val="24"/>
        </w:rPr>
        <w:fldChar w:fldCharType="separate"/>
      </w:r>
      <w:r w:rsidRPr="00683D60">
        <w:rPr>
          <w:rFonts w:ascii="Times New Roman" w:hAnsi="Times New Roman" w:cs="Times New Roman"/>
          <w:sz w:val="24"/>
          <w:vertAlign w:val="superscript"/>
        </w:rPr>
        <w:t>4–6</w:t>
      </w:r>
      <w:r>
        <w:rPr>
          <w:rFonts w:ascii="Times New Roman" w:hAnsi="Times New Roman" w:cs="Times New Roman"/>
          <w:sz w:val="24"/>
          <w:szCs w:val="24"/>
        </w:rPr>
        <w:fldChar w:fldCharType="end"/>
      </w:r>
      <w:r>
        <w:rPr>
          <w:rFonts w:ascii="Times New Roman" w:hAnsi="Times New Roman" w:cs="Times New Roman"/>
          <w:sz w:val="24"/>
          <w:szCs w:val="24"/>
        </w:rPr>
        <w:t xml:space="preserve"> Besides PM, gases like nitrogen oxides, ammonia, ozone, sulfur dioxides, and carbon monoxides also contribute to air pollution. Prolonged exposure to increased concentration of nitrogen dioxide has been linked to harmful and toxic effects on the respiratory system.</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{"citationID":"f1KqyAWm","properties":{"formattedCitation":"\\super 4,6,7\\nosupersub{}","plainCitation":"4,6,7","noteIndex":0},"citationItems":[{"id":1154,"uris":["http://zotero.org/groups/4817000/items/7VXBSMIT"],"itemData":{"id":1154,"type":"article-journal","abstract":"Several epidemiological studies have suggested a link between air pollution and respiratory tract infections. The outbreak of coronavirus disease 2019 (COVID-19) poses a great threat to public health worldwide. However, some parts of the globe have been worse affected in terms of prevalence and deaths than others. The causes and conditions of such variations have yet to be explored. Although some studies indicated a possible correlation between air pollution and COVID-19 severity, there is yet insufficient data for a meaningful answer. This review summarizes the impact of air pollution on COVID-19 infections and severity and discusses the possible management strategies and challenges involved. The available literature investigating the correlation between air pollution and COVID-19 infections and mortality are included in the review. The studies reviewed here suggest that exposure to air pollution, particularly to PM2.5 and NO2 , is positively correlated with COVID-19 infections and mortality. Some data indicate that air pollution can play an important role in the airborne transmission of SARS-CoV-2. A high percentage of COVID-19 incidences has been reported in the most polluted areas, where patients needed hospital admission. The available data also show that both short-term and long-term air pollution may enhance COVID-19 severity. However, most of the studies that showed a link between air pollution and COVID-19 infections and mortality did not consider potential confounders during the correlation analysis. Therefore, more specific studies need to be performed focusing on some additional confounders such as individual age, population density, and pre-existing comorbidities to determine the impact of air pollution on COVID-19 infections and deaths. Integr Environ Assess Manag 2021;17:1114-1122. © 2021 SETAC.","container-title":"Integrated Environmental Assessment and Management","DOI":"10.1002/ieam.4435","ISSN":"1551-3793","issue":"6","journalAbbreviation":"Integr Environ Assess Manag","language":"eng","note":"PMID: 33913626\nPMCID: PMC8239695","page":"1114-1122","source":"PubMed","title":"Exposure to air pollution and COVID-19 severity: A review of current insights, management, and challenges","title-short":"Exposure to air pollution and COVID-19 severity","volume":"17","author":[{"family":"Ali","given":"Nurshad"},{"family":"Fariha","given":"Khandaker A."},{"family":"Islam","given":"Farjana"},{"family":"Mishu","given":"Moshiul A."},{"family":"Mohanto","given":"Nayan C."},{"family":"Hosen","given":"Mohammad J."},{"family":"Hossain","given":"Khaled"}],"issued":{"date-parts":[["2021",11]]}}},{"id":1401,"uris":["http://zotero.org/groups/4817000/items/2KPE3LRQ"],"itemData":{"id":1401,"type":"article-journal","container-title":"Nature","DOI":"10.1038/nature15371","ISSN":"0028-0836, 1476-4687","issue":"7569","journalAbbreviation":"Nature","language":"en","page":"367-371","source":"DOI.org (Crossref)","title":"The contribution of outdoor air pollution sources to premature mortality on a global scale","volume":"525","author":[{"family":"Lelieveld","given":"J."},{"family":"Evans","given":"J. S."},{"family":"Fnais","given":"M."},{"family":"Giannadaki","given":"D."},{"family":"Pozzer","given":"A."}],"issued":{"date-parts":[["2015",9]]}}},{"id":1402,"uris":["http://zotero.org/groups/4817000/items/DSDGFUTR"],"itemData":{"id":1402,"type":"article-journal","abstract":"In order to assess health effects in humans caused by environmental nitrogen dioxide (NO(2)) a systematic review of studies in humans was conducted. MEDLINE database was searched for epidemiological studies and experiments on adverse effects of NO(2) published between 2002 and 2006. The evidence with regard to NO(2) exposure limits was assessed using the Scottish Intercollegiate Guidelines Network (SIGN) grading system and the modified three star system. Of the 214 articles retrieved 112 fulfilled the inclusion criteria. There was limited evidence that short-term exposure to a 1-h mean value below 200 microg NO(2)/m(3) is associated with adverse health effects provided by only one study on mortality in patients with severe asthma (*2+). The effect remained after adjusting for other air pollutants. There was moderate evidence that short-term exposure below a 24-h mean value of 50 microg NO(2)/m(3) at monitor stations increases hospital admissions and mortality (**2+). Evidence was also moderate when the search was restricted to susceptible populations (children, adolescents, elderly, and asthmatics). There was moderate evidence that long-term exposure to an annual mean below 40 microg NO(2)/m(3) was associated with adverse health effects (respiratory symptoms/diseases, hospital admissions, mortality, and otitis media) provided by generally consistent findings in five well-conducted cohort and case-control studies with some shortcomings in the study quality (**2+). Evidence was also moderate when the search was restricted to studies in susceptible populations (children and adolescents) and for the combination with other air pollutants. The most frequent reasons for decreased study quality were potential misclassification of exposure and selection bias. None of the high-quality observational studies evaluated was informative for the key questions due to the choice of the dose parameter (e.g., 1-week mean) and exposure levels above the limit values. Inclusion of study designs unlisted in the SIGN grading system did not bring additional evidence regarding exposures below the current air quality limit values for NO(2). As several recent studies reported adverse health effects below the current exposure limits for NO(2) particularly among susceptible populations regarding long-term exposure further research is needed. Apart from high-quality epidemiological studies on causality and the interaction of NO(2) with other air pollutants there is a need for double-blinded randomized cross-over studies among susceptible populations for further evaluation of the short-term exposure limits.","container-title":"International Journal of Hygiene and Environmental Health","DOI":"10.1016/j.ijheh.2008.06.003","ISSN":"1618-131X","issue":"3","journalAbbreviation":"Int J Hyg Environ Health","language":"eng","note":"PMID: 18771952","page":"271-287","source":"PubMed","title":"Effects of nitrogen dioxide on human health: systematic review of experimental and epidemiological studies conducted between 2002 and 2006","title-short":"Effects of nitrogen dioxide on human health","volume":"212","author":[{"family":"Latza","given":"Ute"},{"family":"Gerdes","given":"Silke"},{"family":"Baur","given":"Xaver"}],"issued":{"date-parts":[["2009",5]]}}}],"schema":"https://github.com/citation-style-language/schema/raw/master/csl-citation.json"} </w:instrText>
      </w:r>
      <w:r>
        <w:rPr>
          <w:rFonts w:ascii="Times New Roman" w:hAnsi="Times New Roman" w:cs="Times New Roman"/>
          <w:sz w:val="24"/>
          <w:szCs w:val="24"/>
        </w:rPr>
        <w:fldChar w:fldCharType="separate"/>
      </w:r>
      <w:r w:rsidRPr="00683D60">
        <w:rPr>
          <w:rFonts w:ascii="Times New Roman" w:hAnsi="Times New Roman" w:cs="Times New Roman"/>
          <w:sz w:val="24"/>
          <w:vertAlign w:val="superscript"/>
        </w:rPr>
        <w:t>4,6,7</w:t>
      </w:r>
      <w:r>
        <w:rPr>
          <w:rFonts w:ascii="Times New Roman" w:hAnsi="Times New Roman" w:cs="Times New Roman"/>
          <w:sz w:val="24"/>
          <w:szCs w:val="24"/>
        </w:rPr>
        <w:fldChar w:fldCharType="end"/>
      </w:r>
    </w:p>
    <w:p w14:paraId="303E3D87" w14:textId="77777777" w:rsidR="002558A4" w:rsidRDefault="002558A4" w:rsidP="002558A4">
      <w:pPr>
        <w:rPr>
          <w:rFonts w:ascii="Times New Roman" w:hAnsi="Times New Roman" w:cs="Times New Roman"/>
          <w:sz w:val="24"/>
          <w:szCs w:val="24"/>
        </w:rPr>
      </w:pPr>
      <w:r>
        <w:rPr>
          <w:rFonts w:ascii="Times New Roman" w:hAnsi="Times New Roman" w:cs="Times New Roman"/>
          <w:sz w:val="24"/>
          <w:szCs w:val="24"/>
        </w:rPr>
        <w:t>Air pollution may exacerbate health outcomes of COVID-19. Several studies in the United States have suggested that long-term exposure to PM2.5 is associated with COVID-19 infection,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{"citationID":"JnXeRqgB","properties":{"formattedCitation":"\\super 8\\nosupersub{}","plainCitation":"8","noteIndex":0},"citationItems":[{"id":1114,"uris":["http://zotero.org/groups/4817000/items/5D2WUF8A"],"itemData":{"id":1114,"type":"article-journal","abstract":"The coronavirus disease 2019 (COVID-19) has had a global impact that has been unevenly distributed among and even within countries. Multiple demographic and environmental factors have been associated with the risk of COVID-19 spread and fatality, including age, gender, ethnicity, poverty, and air quality among others. However, specific contributions of these factors are yet to be understood. Here, we attempted to explain the variability in infection, death, and fatality rates by understanding the contributions of a few selected factors. We compared the incidence of COVID-19 in New York State (NYS) counties during the first wave of infection and analyzed how different demographic and environmental variables associate with the variation observed across the counties. We observed that infection and death rates, two important COVID-19 metrics, to be highly correlated with both being highest in counties located near New York City, considered as one of the epicenters of the infection in the US. In contrast, disease fatality was found to be highest in a different set of counties despite registering a low infection rate. To investigate this apparent discrepancy, we divided the counties into three clusters based on COVID-19 infection, death, or fatality, and compared the differences in the demographic and environmental variables such as ethnicity, age, population density, poverty, temperature, and air quality in each of these clusters. Furthermore, a regression model built on this data reveals PM2.5 and distance from the epicenter are significant risk factors for infection, while disease fatality has a strong association with age and PM2.5. Our results demonstrate that for the NYS, demographic components distinctly associate with specific aspects of COVID-19 burden and also highlight the detrimental impact of poor air quality. These results could help design and direct location-specific control and mitigation strategies.","container-title":"The Science of the Total Environment","DOI":"10.1016/j.scitotenv.2021.150536","ISSN":"1879-1026","issue":"Pt 1","journalAbbreviation":"Sci Total Environ","language":"eng","note":"PMID: 34628294\nPMCID: PMC8461036","page":"150536","source":"PubMed","title":"COVID-19 in New York state: Effects of demographics and air quality on infection and fatality","title-short":"COVID-19 in New York state","volume":"807","author":[{"family":"Mondal","given":"Sumona"},{"family":"Chaipitakporn","given":"Chaya"},{"family":"Kumar","given":"Vijay"},{"family":"Wangler","given":"Bridget"},{"family":"Gurajala","given":"Supraja"},{"family":"Dhaniyala","given":"Suresh"},{"family":"Sur","given":"Shantanu"}],"issued":{"date-parts":[["2022",2,10]]}}}],"schema":"https://github.com/citation-style-language/schema/raw/master/csl-citation.json"} </w:instrText>
      </w:r>
      <w:r>
        <w:rPr>
          <w:rFonts w:ascii="Times New Roman" w:hAnsi="Times New Roman" w:cs="Times New Roman"/>
          <w:sz w:val="24"/>
          <w:szCs w:val="24"/>
        </w:rPr>
        <w:fldChar w:fldCharType="separate"/>
      </w:r>
      <w:r w:rsidRPr="00683D60">
        <w:rPr>
          <w:rFonts w:ascii="Times New Roman" w:hAnsi="Times New Roman" w:cs="Times New Roman"/>
          <w:sz w:val="24"/>
          <w:vertAlign w:val="superscript"/>
        </w:rPr>
        <w:t>8</w:t>
      </w:r>
      <w:r>
        <w:rPr>
          <w:rFonts w:ascii="Times New Roman" w:hAnsi="Times New Roman" w:cs="Times New Roman"/>
          <w:sz w:val="24"/>
          <w:szCs w:val="24"/>
        </w:rPr>
        <w:fldChar w:fldCharType="end"/>
      </w:r>
      <w:r>
        <w:rPr>
          <w:rFonts w:ascii="Times New Roman" w:hAnsi="Times New Roman" w:cs="Times New Roman"/>
          <w:sz w:val="24"/>
          <w:szCs w:val="24"/>
        </w:rPr>
        <w:t xml:space="preserve"> hospitalization,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{"citationID":"3tzZjaJf","properties":{"formattedCitation":"\\super 9,10\\nosupersub{}","plainCitation":"9,10","noteIndex":0},"citationItems":[{"id":1139,"uris":["http://zotero.org/groups/4817000/items/KGGPPC4V"],"itemData":{"id":1139,"type":"article-journal","abstract":"BACKGROUND: Ecologic analyses suggest that living in areas with higher levels of ambient fine particulate matter air pollution (PM2.5) is associated with higher risk of adverse COVID-19 outcomes. Studies accounting for individual-level health characteristics are lacking.\nMETHODS: We leveraged the breadth and depth of the US Department of Veterans Affairs national healthcare databases and built a national cohort of 169,102 COVID-19 positive United States Veterans, enrolled between March 2, 2020 and January 31, 2021, and followed them through February 15, 2021. Annual average 2018 PM2.5 exposure, at an approximately 1 km2 resolution, was linked with residential street address at the year prior to COVID-19 positive test. COVID-19 hospitalization was defined as first hospital admission between 7 days prior to, and 15 days after, the first COVID-19 positive date. Adjusted Poisson regression assessed the association of PM2.5 with risk of hospitalization.\nRESULTS: There were 25,422 (15.0%) hospitalizations; 5,448 (11.9%), 5,056 (13.0%), 7,159 (16.1%), and 7,759 (19.4%) were in the lowest to highest PM2.5 quartile, respectively. In models adjusted for State, demographic and behavioral factors, contextual characteristics, and characteristics of the pandemic a one interquartile range increase in PM2.5 (1.9 µg/m3) was associated with a 10% (95% CI: 8%-12%) increase in risk of hospitalization. The association of PM2.5 and risk of hospitalization among COVID-19 individuals was present in each wave of the pandemic. Models of non-linear exposure-response suggested increased risk at PM2.5 concentrations below the national standard 12 µg/m3. Formal effect modification analyses suggested higher risk of hospitalization associated with PM2.5 in Black people compared to White people (p = 0.045), and in those living in socioeconomically disadvantaged neighborhoods (p &lt; 0.001).\nCONCLUSIONS: Exposure to higher levels of PM2.5 was associated with increased risk of hospitalization among COVID-19 infected individuals. The risk was evident at PM2.5 levels below the regulatory standards. The analysis identified those of Black race and those living in disadvantaged neighborhoods as population groups that may be more susceptible to the untoward effect of PM2.5 on risk of hospitalization in the setting of COVID-19.","container-title":"Environment International","DOI":"10.1016/j.envint.2021.106564","ISSN":"1873-6750","journalAbbreviation":"Environ Int","language":"eng","note":"PMID: 33964723\nPMCID: PMC8040542","page":"106564","source":"PubMed","title":"Ambient fine particulate matter air pollution and the risk of hospitalization among COVID-19 positive individuals: Cohort study","title-short":"Ambient fine particulate matter air pollution and the risk of hospitalization among COVID-19 positive individuals","volume":"154","author":[{"family":"Bowe","given":"Benjamin"},{"family":"Xie","given":"Yan"},{"family":"Gibson","given":"Andrew K."},{"family":"Cai","given":"Miao"},{"family":"Donkelaar","given":"Aaron","non-dropping-particle":"van"},{"family":"Martin","given":"Randall V."},{"family":"Burnett","given":"Richard"},{"family":"Al-Aly","given":"Ziyad"}],"issued":{"date-parts":[["2021",9]]}}},{"id":1145,"uris":["http://zotero.org/groups/4817000/items/R46QAM7L"],"itemData":{"id":1145,"type":"article-journal","abstract":"BACKGROUND AND OBJECTIVE: Ecological studies have suggested an association between exposure to particulate matter ≤2.5 μm (PM2.5 ) and coronavirus disease 2019 (COVID-19) severity. However, these findings are yet to be validated in individual-level studies. We aimed to determine the association of long-term PM2.5 exposure with hospitalization among individual patients infected with severe acute respiratory syndrome coronavirus 2 (SARS-CoV-2).\nMETHODS: We estimated the 10-year (2009-2018) PM2.5 exposure at the residential zip code of COVID-19 patients diagnosed at the University of Cincinnati healthcare system between 13 March 2020 and 30 September 2020. Logistic regression was used to determine the odds ratio (OR) and 95% CI for COVID-19 hospitalizations associated with PM2.5 , adjusting for socioeconomic characteristics and comorbidities.\nRESULTS: Among the 14,783 COVID-19 patients included in our study, 13.6% were hospitalized; the geometric mean (SD) PM2.5 was 10.48 (1.12) μg/m3 . In adjusted analysis, 1 μg/m3 increase in 10-year annual average PM2.5 was associated with 18% higher hospitalization (OR: 1.18, 95% CI: 1.11-1.26). Likewise, 1 μg/m3 increase in PM2.5 estimated for the year 2018 was associated with 14% higher hospitalization (OR: 1.14, 95% CI: 1.08-1.21).\nCONCLUSION: Long-term PM2.5 exposure is associated with increased hospitalization in COVID-19. Therefore, more stringent COVID-19 prevention measures may be needed in areas with higher PM2.5 exposure to reduce the disease morbidity and healthcare burden.","container-title":"Respirology (Carlton, Vic.)","DOI":"10.1111/resp.14140","ISSN":"1440-1843","issue":"12","journalAbbreviation":"Respirology","language":"eng","note":"PMID: 34459069\nPMCID: PMC8662216","page":"1181-1187","source":"PubMed","title":"Air pollution and the pandemic: Long-term PM2.5 exposure and disease severity in COVID-19 patients","title-short":"Air pollution and the pandemic","volume":"26","author":[{"family":"Mendy","given":"Angelico"},{"family":"Wu","given":"Xiao"},{"family":"Keller","given":"Jason L."},{"family":"Fassler","given":"Cecily S."},{"family":"Apewokin","given":"Senu"},{"family":"Mersha","given":"Tesfaye B."},{"family":"Xie","given":"Changchun"},{"family":"Pinney","given":"Susan M."}],"issued":{"date-parts":[["2021",12]]}}}],"schema":"https://github.com/citation-style-language/schema/raw/master/csl-citation.json"} </w:instrText>
      </w:r>
      <w:r>
        <w:rPr>
          <w:rFonts w:ascii="Times New Roman" w:hAnsi="Times New Roman" w:cs="Times New Roman"/>
          <w:sz w:val="24"/>
          <w:szCs w:val="24"/>
        </w:rPr>
        <w:fldChar w:fldCharType="separate"/>
      </w:r>
      <w:r w:rsidRPr="00683D60">
        <w:rPr>
          <w:rFonts w:ascii="Times New Roman" w:hAnsi="Times New Roman" w:cs="Times New Roman"/>
          <w:sz w:val="24"/>
          <w:vertAlign w:val="superscript"/>
        </w:rPr>
        <w:t>9,10</w:t>
      </w:r>
      <w:r>
        <w:rPr>
          <w:rFonts w:ascii="Times New Roman" w:hAnsi="Times New Roman" w:cs="Times New Roman"/>
          <w:sz w:val="24"/>
          <w:szCs w:val="24"/>
        </w:rPr>
        <w:fldChar w:fldCharType="end"/>
      </w:r>
      <w:r>
        <w:rPr>
          <w:rFonts w:ascii="Times New Roman" w:hAnsi="Times New Roman" w:cs="Times New Roman"/>
          <w:sz w:val="24"/>
          <w:szCs w:val="24"/>
        </w:rPr>
        <w:t xml:space="preserve"> mortality,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{"citationID":"Un64CXBV","properties":{"formattedCitation":"\\super 8\\nosupersub{}","plainCitation":"8","noteIndex":0},"citationItems":[{"id":1114,"uris":["http://zotero.org/groups/4817000/items/5D2WUF8A"],"itemData":{"id":1114,"type":"article-journal","abstract":"The coronavirus disease 2019 (COVID-19) has had a global impact that has been unevenly distributed among and even within countries. Multiple demographic and environmental factors have been associated with the risk of COVID-19 spread and fatality, including age, gender, ethnicity, poverty, and air quality among others. However, specific contributions of these factors are yet to be understood. Here, we attempted to explain the variability in infection, death, and fatality rates by understanding the contributions of a few selected factors. We compared the incidence of COVID-19 in New York State (NYS) counties during the first wave of infection and analyzed how different demographic and environmental variables associate with the variation observed across the counties. We observed that infection and death rates, two important COVID-19 metrics, to be highly correlated with both being highest in counties located near New York City, considered as one of the epicenters of the infection in the US. In contrast, disease fatality was found to be highest in a different set of counties despite registering a low infection rate. To investigate this apparent discrepancy, we divided the counties into three clusters based on COVID-19 infection, death, or fatality, and compared the differences in the demographic and environmental variables such as ethnicity, age, population density, poverty, temperature, and air quality in each of these clusters. Furthermore, a regression model built on this data reveals PM2.5 and distance from the epicenter are significant risk factors for infection, while disease fatality has a strong association with age and PM2.5. Our results demonstrate that for the NYS, demographic components distinctly associate with specific aspects of COVID-19 burden and also highlight the detrimental impact of poor air quality. These results could help design and direct location-specific control and mitigation strategies.","container-title":"The Science of the Total Environment","DOI":"10.1016/j.scitotenv.2021.150536","ISSN":"1879-1026","issue":"Pt 1","journalAbbreviation":"Sci Total Environ","language":"eng","note":"PMID: 34628294\nPMCID: PMC8461036","page":"150536","source":"PubMed","title":"COVID-19 in New York state: Effects of demographics and air quality on infection and fatality","title-short":"COVID-19 in New York state","volume":"807","author":[{"family":"Mondal","given":"Sumona"},{"family":"Chaipitakporn","given":"Chaya"},{"family":"Kumar","given":"Vijay"},{"family":"Wangler","given":"Bridget"},{"family":"Gurajala","given":"Supraja"},{"family":"Dhaniyala","given":"Suresh"},{"family":"Sur","given":"Shantanu"}],"issued":{"date-parts":[["2022",2,10]]}}}],"schema":"https://github.com/citation-style-language/schema/raw/master/csl-citation.json"} </w:instrText>
      </w:r>
      <w:r>
        <w:rPr>
          <w:rFonts w:ascii="Times New Roman" w:hAnsi="Times New Roman" w:cs="Times New Roman"/>
          <w:sz w:val="24"/>
          <w:szCs w:val="24"/>
        </w:rPr>
        <w:fldChar w:fldCharType="separate"/>
      </w:r>
      <w:r w:rsidRPr="00683D60">
        <w:rPr>
          <w:rFonts w:ascii="Times New Roman" w:hAnsi="Times New Roman" w:cs="Times New Roman"/>
          <w:sz w:val="24"/>
          <w:vertAlign w:val="superscript"/>
        </w:rPr>
        <w:t>8</w:t>
      </w:r>
      <w:r>
        <w:rPr>
          <w:rFonts w:ascii="Times New Roman" w:hAnsi="Times New Roman" w:cs="Times New Roman"/>
          <w:sz w:val="24"/>
          <w:szCs w:val="24"/>
        </w:rPr>
        <w:fldChar w:fldCharType="end"/>
      </w:r>
      <w:r>
        <w:rPr>
          <w:rFonts w:ascii="Times New Roman" w:hAnsi="Times New Roman" w:cs="Times New Roman"/>
          <w:sz w:val="24"/>
          <w:szCs w:val="24"/>
        </w:rPr>
        <w:t xml:space="preserve"> and fatality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{"citationID":"OMyCHMha","properties":{"formattedCitation":"\\super 8\\nosupersub{}","plainCitation":"8","noteIndex":0},"citationItems":[{"id":1114,"uris":["http://zotero.org/groups/4817000/items/5D2WUF8A"],"itemData":{"id":1114,"type":"article-journal","abstract":"The coronavirus disease 2019 (COVID-19) has had a global impact that has been unevenly distributed among and even within countries. Multiple demographic and environmental factors have been associated with the risk of COVID-19 spread and fatality, including age, gender, ethnicity, poverty, and air quality among others. However, specific contributions of these factors are yet to be understood. Here, we attempted to explain the variability in infection, death, and fatality rates by understanding the contributions of a few selected factors. We compared the incidence of COVID-19 in New York State (NYS) counties during the first wave of infection and analyzed how different demographic and environmental variables associate with the variation observed across the counties. We observed that infection and death rates, two important COVID-19 metrics, to be highly correlated with both being highest in counties located near New York City, considered as one of the epicenters of the infection in the US. In contrast, disease fatality was found to be highest in a different set of counties despite registering a low infection rate. To investigate this apparent discrepancy, we divided the counties into three clusters based on COVID-19 infection, death, or fatality, and compared the differences in the demographic and environmental variables such as ethnicity, age, population density, poverty, temperature, and air quality in each of these clusters. Furthermore, a regression model built on this data reveals PM2.5 and distance from the epicenter are significant risk factors for infection, while disease fatality has a strong association with age and PM2.5. Our results demonstrate that for the NYS, demographic components distinctly associate with specific aspects of COVID-19 burden and also highlight the detrimental impact of poor air quality. These results could help design and direct location-specific control and mitigation strategies.","container-title":"The Science of the Total Environment","DOI":"10.1016/j.scitotenv.2021.150536","ISSN":"1879-1026","issue":"Pt 1","journalAbbreviation":"Sci Total Environ","language":"eng","note":"PMID: 34628294\nPMCID: PMC8461036","page":"150536","source":"PubMed","title":"COVID-19 in New York state: Effects of demographics and air quality on infection and fatality","title-short":"COVID-19 in New York state","volume":"807","author":[{"family":"Mondal","given":"Sumona"},{"family":"Chaipitakporn","given":"Chaya"},{"family":"Kumar","given":"Vijay"},{"family":"Wangler","given":"Bridget"},{"family":"Gurajala","given":"Supraja"},{"family":"Dhaniyala","given":"Suresh"},{"family":"Sur","given":"Shantanu"}],"issued":{"date-parts":[["2022",2,10]]}}}],"schema":"https://github.com/citation-style-language/schema/raw/master/csl-citation.json"} </w:instrText>
      </w:r>
      <w:r>
        <w:rPr>
          <w:rFonts w:ascii="Times New Roman" w:hAnsi="Times New Roman" w:cs="Times New Roman"/>
          <w:sz w:val="24"/>
          <w:szCs w:val="24"/>
        </w:rPr>
        <w:fldChar w:fldCharType="separate"/>
      </w:r>
      <w:r w:rsidRPr="00683D60">
        <w:rPr>
          <w:rFonts w:ascii="Times New Roman" w:hAnsi="Times New Roman" w:cs="Times New Roman"/>
          <w:sz w:val="24"/>
          <w:vertAlign w:val="superscript"/>
        </w:rPr>
        <w:t>8</w:t>
      </w:r>
      <w:r>
        <w:rPr>
          <w:rFonts w:ascii="Times New Roman" w:hAnsi="Times New Roman" w:cs="Times New Roman"/>
          <w:sz w:val="24"/>
          <w:szCs w:val="24"/>
        </w:rPr>
        <w:fldChar w:fldCharType="end"/>
      </w:r>
      <w:r>
        <w:rPr>
          <w:rFonts w:ascii="Times New Roman" w:hAnsi="Times New Roman" w:cs="Times New Roman"/>
          <w:sz w:val="24"/>
          <w:szCs w:val="24"/>
        </w:rPr>
        <w:t>; in addition, another US-based study found that long-term and short-term PM2.5 and NO2 exposure was associated with higher COVID-19 incidence.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{"citationID":"pl7r2kwU","properties":{"formattedCitation":"\\super 11\\nosupersub{}","plainCitation":"11","noteIndex":0},"citationItems":[{"id":1123,"uris":["http://zotero.org/groups/4817000/items/A4QRA5US"],"itemData":{"id":1123,"type":"article-journal","abstract":"BACKGROUND: Air pollution exposure may make people more vulnerable to COVID-19 infection. However, previous studies in this area mostly focused on infection before May 2020 and long-term exposure.\nOBJECTIVE: To assess both long-term and short-term exposure to air pollution and COVID-19 incidence across four case surges from 03/1/2020 to 02/28/2021.\nMETHODS: The cohort included 4.6 million members from a large integrated health care system in southern California with comprehensive electronic medical records (EMR). COVID-19 cases were identified from EMR. Incidence of COVID-19 was computed at the census tract-level among members. Prior 1-month and 1-year averaged air pollutant levels (PM2.5, NO2, and O3) at the census tract-level were estimated based on hourly and daily air quality data. Data analyses were conducted by each wave: 3/1/2020-5/31/2020, 6/1/202-9/30/2020, 10/1/2020-12/31/2020, and 1/1/2021-2/28/2021 and pooled across waves using meta-analysis. Generalized linear mixed effects models with Poisson distribution and spatial autocorrelation were used with adjustment for meteorological factors and census tract-level social and health characteristics. Results were expressed as relative risk (RR) per 1 standard deviation.\nRESULTS: The cohort included 446,440 COVID-19 cases covering 4609 census tracts. The pooled RRs (95% CI) of COVID-19 incidence associated with 1-year exposures to PM2.5, NO2, and O3 were 1.11 (1.04, 1.18) per 2.3 μg/m3,1.09 (1.02, 1.17) per 3.2 ppb, and 1.06 (1.00, 1.12) per 5.5 ppb respectively. The corresponding RRs (95% CI) associated with prior 1-month exposures were 1.11 (1.03, 1.20) per 5.2 μg/m3 for PM2.5, 1.09 (1.01, 1.17) per 6.0 ppb for NO2 and 0.96 (0.85, 1.08) per 12.0 ppb for O3.\nCONCLUSION: Long-term PM2.5 and NO2 exposures were associated with increased risk of COVID-19 incidence across all case surges before February 2021. Short-term PM2.5 and NO2 exposures were also associated. Our findings suggest that air pollution may play a role in increasing the risk of COVID-19 infection.","container-title":"Environmental Research","DOI":"10.1016/j.envres.2022.112758","ISSN":"1096-0953","journalAbbreviation":"Environ Res","language":"eng","note":"PMID: 35063430\nPMCID: PMC8767981","page":"112758","source":"PubMed","title":"Ambient air pollution and COVID-19 incidence during four 2020-2021 case surges","volume":"208","author":[{"family":"Sidell","given":"Margo A."},{"family":"Chen","given":"Zhanghua"},{"family":"Huang","given":"Brian Z."},{"family":"Chow","given":"Ting"},{"family":"Eckel","given":"Sandrah P."},{"family":"Martinez","given":"Mayra P."},{"family":"Lurmann","given":"Fred"},{"family":"Thomas","given":"Duncan C."},{"family":"Gilliland","given":"Frank D."},{"family":"Xiang","given":"Anny H."}],"issued":{"date-parts":[["2022",5,15]]}}}],"schema":"https://github.com/citation-style-language/schema/raw/master/csl-citation.json"} </w:instrText>
      </w:r>
      <w:r>
        <w:rPr>
          <w:rFonts w:ascii="Times New Roman" w:hAnsi="Times New Roman" w:cs="Times New Roman"/>
          <w:sz w:val="24"/>
          <w:szCs w:val="24"/>
        </w:rPr>
        <w:fldChar w:fldCharType="separate"/>
      </w:r>
      <w:r w:rsidRPr="00683D60">
        <w:rPr>
          <w:rFonts w:ascii="Times New Roman" w:hAnsi="Times New Roman" w:cs="Times New Roman"/>
          <w:sz w:val="24"/>
          <w:vertAlign w:val="superscript"/>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Exposure to air pollution has negatively impacted the COVID-19 pandemic outside of the United States as well. Daily increases in air pollution have been positively correlated with COVID-19 mortality in Chile,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{"citationID":"gcD2RMwW","properties":{"formattedCitation":"\\super 12\\nosupersub{}","plainCitation":"12","noteIndex":0},"citationItems":[{"id":1127,"uris":["http://zotero.org/groups/4817000/items/WN7V5J7N"],"itemData":{"id":1127,"type":"article-journal","abstract":"BACKGROUND: Exposure to ambient air pollution is a risk factor for morbidity and mortality from lung and heart disease.\nRESEARCH QUESTION: Does short term exposure to ambient air pollution influence COVID-19 related mortality?\nSTUDY DESIGN AND METHODOLOGY: Using time series analyses we tested the association between daily changes in air pollution measured by stationary monitors in and around Santiago, Chile and deaths from laboratory confirmed or suspected COVID-19 between March 16 and August 31, 2020. Results were adjusted for temporal trends, temperature and humidity, and stratified by age and sex.\nRESULTS: There were 10,069 COVID-19 related deaths of which 7659 were laboratory confirmed. Using distributed lags, the cumulative relative risk (RR) (95% CI) of mortality for an interquartile range (IQR) increase in CO, NO2 and PM2.5 were 1.061 (1.033-1.089), 1.067 (1.023-1.103) and 1.058 (1.034-1.082), respectively There were no significant differences in RR by sex.. In those at least 85 years old, an IQR increase in NO2 was associated with a 12.7% (95% CI 4.2-22.2) increase in daily mortality.\nCONCLUSION: This study provides evidence that daily increases in air pollution increase the risk of dying from COVID-19, especially in the elderly.","container-title":"Environmental Research","DOI":"10.1016/j.envres.2021.111284","ISSN":"1096-0953","journalAbbreviation":"Environ Res","language":"eng","note":"PMID: 33971125\nPMCID: PMC8547777","page":"111284","source":"PubMed","title":"The association between air pollution and COVID-19 related mortality in Santiago, Chile: A daily time series analysis","title-short":"The association between air pollution and COVID-19 related mortality in Santiago, Chile","volume":"198","author":[{"family":"Dales","given":"Robert"},{"family":"Blanco-Vidal","given":"Claudia"},{"family":"Romero-Meza","given":"Rafael"},{"family":"Schoen","given":"Stephanie"},{"family":"Lukina","given":"Anna"},{"family":"Cakmak","given":"Sabit"}],"issued":{"date-parts":[["2021",7]]}}}],"schema":"https://github.com/citation-style-language/schema/raw/master/csl-citation.json"} </w:instrText>
      </w:r>
      <w:r>
        <w:rPr>
          <w:rFonts w:ascii="Times New Roman" w:hAnsi="Times New Roman" w:cs="Times New Roman"/>
          <w:sz w:val="24"/>
          <w:szCs w:val="24"/>
        </w:rPr>
        <w:fldChar w:fldCharType="separate"/>
      </w:r>
      <w:r w:rsidRPr="00D715BB">
        <w:rPr>
          <w:rFonts w:ascii="Times New Roman" w:hAnsi="Times New Roman" w:cs="Times New Roman"/>
          <w:sz w:val="24"/>
          <w:vertAlign w:val="superscript"/>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PM2.5 and NO2 exposure have been linked to COVID-19 incidence in China,</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{"citationID":"XnWLq5n5","properties":{"formattedCitation":"\\super 13\\nosupersub{}","plainCitation":"13","noteIndex":0},"citationItems":[{"id":1124,"uris":["http://zotero.org/groups/4817000/items/4PXQUZWS"],"itemData":{"id":1124,"type":"article-journal","abstract":"OBJECTIVES: Although COVID-19 is known to be caused by human-to-human transmission, it remains largely unclear whether ambient air pollutants and meteorological parameters could promote its transmission.\nMETHODS: A retrospective study was conducted to study whether air quality index (AQI), four ambient air pollutants (PM2.5, PM10, NO2 and CO) and five meteorological variables (daily temperature, highest temperature, lowest temperature, temperature difference and sunshine duration) could increase COVID-19 incidence in Wuhan and XiaoGan between Jan 26th to Feb 29th in 2020.\nRESULTS: First, a significant correlation was found between COVID-19 incidence and AQI in both Wuhan (R2=0.13, p&lt;0.05) and XiaoGan (R2=0.223, p&lt;0.01). Specifically, among four pollutants, COVID-19 incidence was prominently correlated with PM2.5 and NO2 in both cities. In Wuhan, the tightest correlation was observed between NO2 and COVID-19 incidence (R2=0.329, p&lt;0.01). In XiaoGan, in addition to the PM2.5 (R2=0.117, p&lt;0.01) and NO2 (R2=0.015, p&lt;0.05), a notable correlation was also observed between the PM10 and COVID-19 incidence (R2=0.105, p&lt;0.05). Moreover, temperature is the only meteorological parameter that constantly correlated well with COVID-19 incidence in both Wuhan and XiaoGan, but in an inverse correlation (p&lt;0.05).\nCONCLUSIONS: AQI, PM2.5, NO2, and temperature are four variables that could promote the sustained transmission of COVID-19.","container-title":"International journal of infectious diseases: IJID: official publication of the International Society for Infectious Diseases","DOI":"10.1016/j.ijid.2020.05.076","ISSN":"1878-3511","journalAbbreviation":"Int J Infect Dis","language":"eng","note":"PMID: 32502664\nPMCID: PMC7266595","page":"278-282","source":"PubMed","title":"Air pollution and temperature are associated with increased COVID-19 incidence: A time series study","title-short":"Air pollution and temperature are associated with increased COVID-19 incidence","volume":"97","author":[{"family":"Li","given":"He"},{"family":"Xu","given":"Xiao-Long"},{"family":"Dai","given":"Da-Wei"},{"family":"Huang","given":"Zhen-Yu"},{"family":"Ma","given":"Zhuang"},{"family":"Guan","given":"Yan-Jun"}],"issued":{"date-parts":[["2020",8]]}}}],"schema":"https://github.com/citation-style-language/schema/raw/master/csl-citation.json"} </w:instrText>
      </w:r>
      <w:r>
        <w:rPr>
          <w:rFonts w:ascii="Times New Roman" w:hAnsi="Times New Roman" w:cs="Times New Roman"/>
          <w:sz w:val="24"/>
          <w:szCs w:val="24"/>
        </w:rPr>
        <w:fldChar w:fldCharType="separate"/>
      </w:r>
      <w:r w:rsidRPr="005239B8">
        <w:rPr>
          <w:rFonts w:ascii="Times New Roman" w:hAnsi="Times New Roman" w:cs="Times New Roman"/>
          <w:sz w:val="24"/>
          <w:vertAlign w:val="superscript"/>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PM2.5 and PM10 exposure have been positively associated with COVID-19 incidence and mortality in Germany,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{"citationID":"c7aNaEY1","properties":{"formattedCitation":"\\super 14\\nosupersub{}","plainCitation":"14","noteIndex":0},"citationItems":[{"id":1131,"uris":["http://zotero.org/groups/4817000/items/QQBF32HP"],"itemData":{"id":1131,"type":"article-journal","abstract":"BACKGROUND: COVID-19 is a lung disease, and there is medical evidence that air pollution is one of the external causes of lung diseases. Fine particulate matter is one of the air pollutants that damages pulmonary tissue. The combination of the coronavirus and fine particulate matter air pollution may exacerbate the coronavirus' effect on human health.\nRESEARCH QUESTION: This paper considers whether the long-term concentration of fine particulate matter of different sizes changes the number of detected coronavirus infections and the number of COVID-19 fatalities in Germany.\nSTUDY DESIGN: Data from 400 German counties for fine particulate air pollution from 2002 to 2020 are used to measure the long-term impact of air pollution. Kriging interpolation is applied to complement data gaps. With an ecological study, the correlation between average particulate matter air pollution and COVID-19 cases, as well as fatalities, are estimated with OLS regressions. Thereby, socioeconomic and demographic covariates are included.\nMAIN FINDINGS: An increase in the average long-term air pollution of 1 μg/m3 particulate matter PM2.5 is correlated with 199.46 (SD = 29.66) more COVID-19 cases per 100,000 inhabitants in Germany. For PM10 the respective increase is 52.38 (SD = 12.99) more cases per 100,000 inhabitants. The number of COVID-19 deaths were also positively correlated with PM2.5 and PM10 (6.18, SD = 1.44, respectively 2.11, SD = 0.71, additional COVID-19 deaths per 100,000 inhabitants).\nCONCLUSION: Long-term fine particulate air pollution is suspected as causing higher numbers of COVID-19 cases. Higher long-term air pollution may even increase COVID-19 death rates. We find that the results of the correlation analysis without controls are retained in a regression analysis with controls for relevant confounding factors. Nevertheless, additional epidemiological investigations are required to test the causality of particulate matter air pollution for COVID-19 cases and the severity.","container-title":"Environmental Research","DOI":"10.1016/j.envres.2021.111948","ISSN":"1096-0953","issue":"Pt A","journalAbbreviation":"Environ Res","language":"eng","note":"PMID: 34464613\nPMCID: PMC8400616","page":"111948","source":"PubMed","title":"Long-term exposure to fine particulate matter air pollution: An ecological study of its effect on COVID-19 cases and fatality in Germany","title-short":"Long-term exposure to fine particulate matter air pollution","volume":"204","author":[{"family":"Prinz","given":"Aloys L."},{"family":"Richter","given":"David J."}],"issued":{"date-parts":[["2022",3]]}}}],"schema":"https://github.com/citation-style-language/schema/raw/master/csl-citation.json"} </w:instrText>
      </w:r>
      <w:r>
        <w:rPr>
          <w:rFonts w:ascii="Times New Roman" w:hAnsi="Times New Roman" w:cs="Times New Roman"/>
          <w:sz w:val="24"/>
          <w:szCs w:val="24"/>
        </w:rPr>
        <w:fldChar w:fldCharType="separate"/>
      </w:r>
      <w:r w:rsidRPr="005239B8">
        <w:rPr>
          <w:rFonts w:ascii="Times New Roman" w:hAnsi="Times New Roman" w:cs="Times New Roman"/>
          <w:sz w:val="24"/>
          <w:vertAlign w:val="superscript"/>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Pr="00D715BB">
        <w:rPr>
          <w:rFonts w:ascii="Times New Roman" w:hAnsi="Times New Roman" w:cs="Times New Roman"/>
          <w:sz w:val="24"/>
          <w:szCs w:val="24"/>
        </w:rPr>
        <w:t xml:space="preserve">PM2.5, PM10, and NO2 </w:t>
      </w:r>
      <w:r>
        <w:rPr>
          <w:rFonts w:ascii="Times New Roman" w:hAnsi="Times New Roman" w:cs="Times New Roman"/>
          <w:sz w:val="24"/>
          <w:szCs w:val="24"/>
        </w:rPr>
        <w:t xml:space="preserve">exposure were </w:t>
      </w:r>
      <w:r w:rsidRPr="00D715BB">
        <w:rPr>
          <w:rFonts w:ascii="Times New Roman" w:hAnsi="Times New Roman" w:cs="Times New Roman"/>
          <w:sz w:val="24"/>
          <w:szCs w:val="24"/>
        </w:rPr>
        <w:t>positively associated with COVID</w:t>
      </w:r>
      <w:r>
        <w:rPr>
          <w:rFonts w:ascii="Times New Roman" w:hAnsi="Times New Roman" w:cs="Times New Roman"/>
          <w:sz w:val="24"/>
          <w:szCs w:val="24"/>
        </w:rPr>
        <w:t>-19 incidence in India.</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{"citationID":"rm2lSG0y","properties":{"formattedCitation":"\\super 15\\nosupersub{}","plainCitation":"15","noteIndex":0},"citationItems":[{"id":1125,"uris":["http://zotero.org/groups/4817000/items/GU6YMQW9"],"itemData":{"id":1125,"type":"article-journal","abstract":"Severe acute respiratory syndrome coronavirus 2 (SARS-CoV-2) disease represents the causative agent with a potentially fatal risk which is having great global human health concern. Earlier studies suggested that air pollutants and meteorological factors were considered as the risk factors for acute respiratory infection, which carries harmful pathogens and affects the immunity. The study intended to explore the correlation between air pollutants, meteorological factors, and the daily reported infected cases caused by novel coronavirus in India. The daily positive infected cases, concentrations of air pollutants, and meteorological factors in 288 districts were collected from January 30, 2020, to April 23, 2020, in India. Spearman's correlation and generalized additive model (GAM) were applied to investigate the correlations of four air pollutants (PM2.5, PM10, NO2, and SO2) and eight meteorological factors (Temp, DTR, RH, AH, AP, RF, WS, and WD) with COVID-19-infected cases. The study indicated that a 10 μg/m3 increase during (Lag0-14) in PM2.5, PM10, and NO2 resulted in 2.21% (95%CI: 1.13 to 3.29), 2.67% (95% CI: 0.33 to 5.01), and 4.56 (95% CI: 2.22 to 6.90) increase in daily counts of Coronavirus Disease 2019 (COVID 19)-infected cases respectively. However, only 1 unit increase in meteorological factor levels in case of daily mean temperature and DTR during (Lag0-14) associated with 3.78% (95%CI: 1.81 to 5.75) and 1.82% (95% CI: -1.74 to 5.38) rise of COVID-19-infected cases respectively. In addition, SO2 and relative humidity were negatively associated with COVID-19-infected cases at Lag0-14 with decrease of 7.23% (95% CI: -10.99 to -3.47) and 1.11% (95% CI: -3.45 to 1.23) for SO2 and for relative humidity respectively. The study recommended that there are significant correlations between air pollutants and meteorological factors with COVID-19-infected cases, which substantially explain the effect of national lockdown and suggested positive implications for control and prevention of the spread of SARS-CoV-2 disease.","container-title":"Environmental Science and Pollution Research International","DOI":"10.1007/s11356-021-12709-z","ISSN":"1614-7499","issue":"30","journalAbbreviation":"Environ Sci Pollut Res Int","language":"eng","note":"PMID: 33638789\nPMCID: PMC7912974","page":"40474-40495","source":"PubMed","title":"Significance between air pollutants, meteorological factors, and COVID-19 infections: probable evidences in India","title-short":"Significance between air pollutants, meteorological factors, and COVID-19 infections","volume":"28","author":[{"family":"Sahoo","given":"Mrunmayee Manjari"}],"issued":{"date-parts":[["2021",8]]}}}],"schema":"https://github.com/citation-style-language/schema/raw/master/csl-citation.json"} </w:instrText>
      </w:r>
      <w:r>
        <w:rPr>
          <w:rFonts w:ascii="Times New Roman" w:hAnsi="Times New Roman" w:cs="Times New Roman"/>
          <w:sz w:val="24"/>
          <w:szCs w:val="24"/>
        </w:rPr>
        <w:fldChar w:fldCharType="separate"/>
      </w:r>
      <w:r w:rsidRPr="005239B8">
        <w:rPr>
          <w:rFonts w:ascii="Times New Roman" w:hAnsi="Times New Roman" w:cs="Times New Roman"/>
          <w:sz w:val="24"/>
          <w:vertAlign w:val="superscript"/>
        </w:rPr>
        <w:t>15</w:t>
      </w:r>
      <w:r>
        <w:rPr>
          <w:rFonts w:ascii="Times New Roman" w:hAnsi="Times New Roman" w:cs="Times New Roman"/>
          <w:sz w:val="24"/>
          <w:szCs w:val="24"/>
        </w:rPr>
        <w:fldChar w:fldCharType="end"/>
      </w:r>
    </w:p>
    <w:p w14:paraId="5ECB3B08" w14:textId="77777777" w:rsidR="002558A4" w:rsidRDefault="002558A4" w:rsidP="002558A4">
      <w:pPr>
        <w:rPr>
          <w:rFonts w:ascii="Times New Roman" w:hAnsi="Times New Roman" w:cs="Times New Roman"/>
          <w:sz w:val="24"/>
          <w:szCs w:val="24"/>
        </w:rPr>
      </w:pPr>
      <w:r>
        <w:rPr>
          <w:rFonts w:ascii="Times New Roman" w:hAnsi="Times New Roman" w:cs="Times New Roman"/>
          <w:sz w:val="24"/>
          <w:szCs w:val="24"/>
        </w:rPr>
        <w:t>Air pollution may have negative impacts during pregnancy as well. Previous studies have suggested that PM10 exposure increased risk of spontaneous abortion, and that PM10 and PM2.5 exposure in the third trimester increased the risk of stillbirth.</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{"citationID":"4PHsqpPl","properties":{"formattedCitation":"\\super 16\\nosupersub{}","plainCitation":"16","noteIndex":0},"citationItems":[{"id":1340,"uris":["http://zotero.org/groups/4817000/items/YPY4DBJL"],"itemData":{"id":1340,"type":"article-journal","container-title":"Reviews on Environmental Health","DOI":"10.1515/reveh-2017-0033","ISSN":"2191-0308","issue":"3","journalAbbreviation":"Rev Environ Health","language":"eng","note":"PMID: 29975668\nPMCID: PMC7183911","page":"247-264","source":"PubMed","title":"Air pollution exposure during pregnancy and spontaneous abortion and stillbirth","volume":"33","author":[{"family":"Grippo","given":"Alexandra"},{"family":"Zhang","given":"Jun"},{"family":"Chu","given":"Li"},{"family":"Guo","given":"Yanjun"},{"family":"Qiao","given":"Lihua"},{"family":"Zhang","given":"Jun"},{"family":"Myneni","given":"Ajay A."},{"family":"Mu","given":"Lina"}],"issued":{"date-parts":[["2018",9,25]]}}}],"schema":"https://github.com/citation-style-language/schema/raw/master/csl-citation.json"} </w:instrText>
      </w:r>
      <w:r>
        <w:rPr>
          <w:rFonts w:ascii="Times New Roman" w:hAnsi="Times New Roman" w:cs="Times New Roman"/>
          <w:sz w:val="24"/>
          <w:szCs w:val="24"/>
        </w:rPr>
        <w:fldChar w:fldCharType="separate"/>
      </w:r>
      <w:r w:rsidRPr="005239B8">
        <w:rPr>
          <w:rFonts w:ascii="Times New Roman" w:hAnsi="Times New Roman" w:cs="Times New Roman"/>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 xml:space="preserve"> Also, exposure to PM and ozone throughout pregnancy may increase the risk of preterm birth.</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{"citationID":"BKnMGF9O","properties":{"formattedCitation":"\\super 17,18\\nosupersub{}","plainCitation":"17,18","noteIndex":0},"citationItems":[{"id":1343,"uris":["http://zotero.org/groups/4817000/items/GCZACQ9N"],"itemData":{"id":1343,"type":"article-journal","abstract":"There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11]]}}},{"id":1348,"uris":["http://zotero.org/groups/4817000/items/KFGKHFEL"],"itemData":{"id":1348,"type":"article-journal","abstract":"Importance: Knowledge of whether serious adverse pregnancy outcomes are associated with increasingly widespread effects of climate change in the US would be crucial for the obstetrical medical community and for women and families across the country.\nObjective: To investigate prenatal exposure to fine particulate matter (PM2.5), ozone, and heat, and the association of these factors with preterm birth, low birth weight, and stillbirth.\nEvidence Review: This systematic review involved a comprehensive search for primary literature in Cochrane Library, Cochrane Collaboration Registry of Controlled Trials, PubMed, ClinicalTrials.gov website, and MEDLINE. Qualifying primary research studies included human participants in US populations that were published in English between January 1, 2007, and April 30, 2019. Included articles analyzed the associations between air pollutants or heat and obstetrical outcomes. Comparative observational cohort studies and cross-sectional studies with comparators were included, without minimum sample size. Additional articles found through reference review were also considered. Articles analyzing other obstetrical outcomes, non-US populations, and reviews were excluded. Two reviewers independently determined study eligibility. The Arskey and O'Malley scoping review framework was used. Data extraction was performed according to the Preferred Reporting Items for Systematic Reviews and Meta-analyses (PRISMA) reporting guideline.\nFindings: Of the 1851 articles identified, 68 met the inclusion criteria. Overall, 32 798 152 births were analyzed, with a mean (SD) of 565 485 (783 278) births per study. A total of 57 studies (48 of 58 [84%] on air pollutants; 9 of 10 [90%] on heat) showed a significant association of air pollutant and heat exposure with birth outcomes. Positive associations were found across all US geographic regions. Exposure to PM2.5 or ozone was associated with increased risk of preterm birth in 19 of 24 studies (79%) and low birth weight in 25 of 29 studies (86%). The subpopulations at highest risk were persons with asthma and minority groups, especially black mothers. Accurate comparisons of risk were limited by differences in study design, exposure measurement, population demographics, and seasonality.\nConclusions and Relevance: This review suggests that increasingly common environmental exposures exacerbated by climate change are significantly associated with serious adverse pregnancy outcomes across the US.","container-title":"JAMA network open","DOI":"10.1001/jamanetworkopen.2020.8243","ISSN":"2574-3805","issue":"6","journalAbbreviation":"JAMA Netw Open","language":"eng","note":"PMID: 32556259\nPMCID: PMC7303808","page":"e208243","source":"PubMed","title":"Association of Air Pollution and Heat Exposure With Preterm Birth, Low Birth Weight, and Stillbirth in the US: A Systematic Review","title-short":"Association of Air Pollution and Heat Exposure With Preterm Birth, Low Birth Weight, and Stillbirth in the US","volume":"3","author":[{"family":"Bekkar","given":"Bruce"},{"family":"Pacheco","given":"Susan"},{"family":"Basu","given":"Rupa"},{"family":"DeNicola","given":"Nathaniel"}],"issued":{"date-parts":[["2020",6,1]]}}}],"schema":"https://github.com/citation-style-language/schema/raw/master/csl-citation.json"} </w:instrText>
      </w:r>
      <w:r>
        <w:rPr>
          <w:rFonts w:ascii="Times New Roman" w:hAnsi="Times New Roman" w:cs="Times New Roman"/>
          <w:sz w:val="24"/>
          <w:szCs w:val="24"/>
        </w:rPr>
        <w:fldChar w:fldCharType="separate"/>
      </w:r>
      <w:r w:rsidRPr="005239B8">
        <w:rPr>
          <w:rFonts w:ascii="Times New Roman" w:hAnsi="Times New Roman" w:cs="Times New Roman"/>
          <w:sz w:val="24"/>
          <w:vertAlign w:val="superscript"/>
        </w:rPr>
        <w:t>17,18</w:t>
      </w:r>
      <w:r>
        <w:rPr>
          <w:rFonts w:ascii="Times New Roman" w:hAnsi="Times New Roman" w:cs="Times New Roman"/>
          <w:sz w:val="24"/>
          <w:szCs w:val="24"/>
        </w:rPr>
        <w:fldChar w:fldCharType="end"/>
      </w:r>
    </w:p>
    <w:p w14:paraId="35A49DB0" w14:textId="77777777" w:rsidR="002558A4" w:rsidRDefault="002558A4" w:rsidP="002558A4">
      <w:pPr>
        <w:rPr>
          <w:rFonts w:ascii="Times New Roman" w:hAnsi="Times New Roman" w:cs="Times New Roman"/>
          <w:sz w:val="24"/>
          <w:szCs w:val="24"/>
        </w:rPr>
      </w:pPr>
      <w:r>
        <w:rPr>
          <w:rFonts w:ascii="Times New Roman" w:hAnsi="Times New Roman" w:cs="Times New Roman"/>
          <w:sz w:val="24"/>
          <w:szCs w:val="24"/>
        </w:rPr>
        <w:lastRenderedPageBreak/>
        <w:t>While both COVID-19 and exposure to air pollution can have detrimental health impacts during pregnancy, scientific literature has insufficiently examined the synergistic impacts of COVID-19 and air pollution on pregnancy health outcomes. In fact, only one paper by Casey, et al. (2022) has examined these three variables (air pollution, COVID-19, and pregnancy) simultaneously.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{"citationID":"J064QKWY","properties":{"formattedCitation":"\\super 19\\nosupersub{}","plainCitation":"19","noteIndex":0},"citationItems":[{"id":1315,"uris":["http://zotero.org/groups/4817000/items/865KEHJY"],"itemData":{"id":1315,"type":"article-journal","abstract":"Abstract\n            We aimed to determine whether long-term ambient concentrations of fine particulate matter (particulate matter with an aerodynamic diameter less than or equal to 2.5 μm (PM2.5)) were associated with increased risk of testing positive for coronavirus disease 2019 (COVID-19) among pregnant individuals who were universally screened at delivery and whether socioeconomic status (SES) modified this relationship. We used obstetrical data collected from New-York Presbyterian Hospital/Columbia University Irving Medical Center in New York, New York, between March and December 2020, including data on Medicaid use (a proxy for low SES) and COVID-19 test results. We linked estimated 2018–2019 PM2.5 concentrations (300-m resolution) with census-tract–level population density, household size, income, and mobility (as measured by mobile-device use) on the basis of residential address. Analyses included 3,318 individuals; 5% tested positive for COVID-19 at delivery, 8% tested positive during pregnancy, and 48% used Medicaid. Average long-term PM2.5 concentrations were 7.4 (standard deviation, 0.8) μg/m3. In adjusted multilevel logistic regression models, we saw no association between PM2.5 and ever testing positive for COVID-19; however, odds were elevated among those using Medicaid (per 1-μg/m3 increase, odds ratio = 1.6, 95% confidence interval: 1.0, 2.5). Further, while only 22% of those testing positive showed symptoms, 69% of symptomatic individuals used Medicaid. SES, including unmeasured occupational exposures or increased susceptibility to severe acute respiratory syndrome coronavirus 2 (SARS-CoV-2) due to concurrent social and environmental exposures, may explain the increased odds of testing positive for COVID-19 being confined to vulnerable pregnant individuals using Medicaid.","container-title":"American Journal of Epidemiology","DOI":"10.1093/aje/kwac139","ISSN":"0002-9262, 1476-6256","language":"en","page":"kwac139","source":"DOI.org (Crossref)","title":"Long-Term Fine Particulate Matter Concentrations and Prevalence of Severe Acute Respiratory Syndrome Coronavirus 2: Differential Relationships by Socioeconomic Status Among Pregnant Individuals in New York City","title-short":"Long-Term Fine Particulate Matter Concentrations and Prevalence of Severe Acute Respiratory Syndrome Coronavirus 2","author":[{"family":"Casey","given":"Joan A"},{"family":"Kioumourtzoglou","given":"Marianthi-Anna"},{"family":"Ogburn","given":"Elizabeth L"},{"family":"Melamed","given":"Alexander"},{"family":"Shaman","given":"Jeffrey"},{"family":"Kandula","given":"Sasikiran"},{"family":"Neophytou","given":"Andreas"},{"family":"Darwin","given":"Kristin C"},{"family":"Sheffield","given":"Jeanne S"},{"family":"Gyamfi-Bannerman","given":"Cynthia"}],"issued":{"date-parts":[["2022",8,2]]}}}],"schema":"https://github.com/citation-style-language/schema/raw/master/csl-citation.json"} </w:instrText>
      </w:r>
      <w:r>
        <w:rPr>
          <w:rFonts w:ascii="Times New Roman" w:hAnsi="Times New Roman" w:cs="Times New Roman"/>
          <w:sz w:val="24"/>
          <w:szCs w:val="24"/>
        </w:rPr>
        <w:fldChar w:fldCharType="separate"/>
      </w:r>
      <w:r w:rsidRPr="00767DBC">
        <w:rPr>
          <w:rFonts w:ascii="Times New Roman" w:hAnsi="Times New Roman" w:cs="Times New Roman"/>
          <w:sz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In this paper, we will examine the joint impacts of COVID-19 infection and air pollution exposure during the third trimester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pregnancy outcomes in a New York City cohort. Based on what is known from the current scientific literature, we hypothesize that COVID-19 infection and air pollution together will have a stronger impact on adverse pregnancy outcomes than they will alone.</w:t>
      </w:r>
    </w:p>
    <w:p w14:paraId="2DB6CAA6" w14:textId="1420571E" w:rsidR="00DA35AE" w:rsidRDefault="00DA35AE" w:rsidP="002558A4">
      <w:pPr>
        <w:rPr>
          <w:rFonts w:ascii="Times New Roman" w:hAnsi="Times New Roman" w:cs="Times New Roman"/>
          <w:b/>
          <w:bCs/>
          <w:sz w:val="24"/>
          <w:szCs w:val="24"/>
        </w:rPr>
      </w:pPr>
      <w:r>
        <w:rPr>
          <w:rFonts w:ascii="Times New Roman" w:hAnsi="Times New Roman" w:cs="Times New Roman"/>
          <w:b/>
          <w:bCs/>
          <w:sz w:val="24"/>
          <w:szCs w:val="24"/>
        </w:rPr>
        <w:t>Methods</w:t>
      </w:r>
    </w:p>
    <w:p w14:paraId="2F50EFB6" w14:textId="2EDBC073" w:rsidR="00B13AC7" w:rsidRDefault="00B13AC7" w:rsidP="003D28E0">
      <w:pPr>
        <w:rPr>
          <w:rFonts w:ascii="Times New Roman" w:hAnsi="Times New Roman" w:cs="Times New Roman"/>
          <w:sz w:val="24"/>
          <w:szCs w:val="24"/>
        </w:rPr>
      </w:pPr>
      <w:r>
        <w:rPr>
          <w:rFonts w:ascii="Times New Roman" w:hAnsi="Times New Roman" w:cs="Times New Roman"/>
          <w:sz w:val="24"/>
          <w:szCs w:val="24"/>
        </w:rPr>
        <w:t xml:space="preserve">Our study participants included all pregnant individuals who gave birth in </w:t>
      </w:r>
      <w:r>
        <w:rPr>
          <w:rFonts w:ascii="Times New Roman" w:hAnsi="Times New Roman" w:cs="Times New Roman"/>
          <w:sz w:val="24"/>
          <w:szCs w:val="24"/>
        </w:rPr>
        <w:t xml:space="preserve">New York City </w:t>
      </w:r>
      <w:r w:rsidR="003D28E0">
        <w:rPr>
          <w:rFonts w:ascii="Times New Roman" w:hAnsi="Times New Roman" w:cs="Times New Roman"/>
          <w:sz w:val="24"/>
          <w:szCs w:val="24"/>
        </w:rPr>
        <w:t xml:space="preserve">between March 2020 and February 2021 </w:t>
      </w:r>
      <w:commentRangeStart w:id="0"/>
      <w:r w:rsidR="003D28E0">
        <w:rPr>
          <w:rFonts w:ascii="Times New Roman" w:hAnsi="Times New Roman" w:cs="Times New Roman"/>
          <w:sz w:val="24"/>
          <w:szCs w:val="24"/>
        </w:rPr>
        <w:t xml:space="preserve">in the following health systems: </w:t>
      </w:r>
      <w:r w:rsidR="003D28E0" w:rsidRPr="003D28E0">
        <w:rPr>
          <w:rFonts w:ascii="Times New Roman" w:hAnsi="Times New Roman" w:cs="Times New Roman"/>
          <w:sz w:val="24"/>
          <w:szCs w:val="24"/>
        </w:rPr>
        <w:t>Albert Einstein School of Medicine/Montefiore Medical Center, Columbia University and Weill</w:t>
      </w:r>
      <w:r w:rsidR="003D28E0">
        <w:rPr>
          <w:rFonts w:ascii="Times New Roman" w:hAnsi="Times New Roman" w:cs="Times New Roman"/>
          <w:sz w:val="24"/>
          <w:szCs w:val="24"/>
        </w:rPr>
        <w:t xml:space="preserve"> </w:t>
      </w:r>
      <w:r w:rsidR="003D28E0" w:rsidRPr="003D28E0">
        <w:rPr>
          <w:rFonts w:ascii="Times New Roman" w:hAnsi="Times New Roman" w:cs="Times New Roman"/>
          <w:sz w:val="24"/>
          <w:szCs w:val="24"/>
        </w:rPr>
        <w:t>Cornell Medicine/New York-Presbyterian Hospital, Icahn School of Medicine/Mount Sinai Health</w:t>
      </w:r>
      <w:r w:rsidR="003D28E0">
        <w:rPr>
          <w:rFonts w:ascii="Times New Roman" w:hAnsi="Times New Roman" w:cs="Times New Roman"/>
          <w:sz w:val="24"/>
          <w:szCs w:val="24"/>
        </w:rPr>
        <w:t xml:space="preserve"> </w:t>
      </w:r>
      <w:r w:rsidR="003D28E0" w:rsidRPr="003D28E0">
        <w:rPr>
          <w:rFonts w:ascii="Times New Roman" w:hAnsi="Times New Roman" w:cs="Times New Roman"/>
          <w:sz w:val="24"/>
          <w:szCs w:val="24"/>
        </w:rPr>
        <w:t>System</w:t>
      </w:r>
      <w:r w:rsidR="003D28E0">
        <w:rPr>
          <w:rFonts w:ascii="Times New Roman" w:hAnsi="Times New Roman" w:cs="Times New Roman"/>
          <w:sz w:val="24"/>
          <w:szCs w:val="24"/>
        </w:rPr>
        <w:t>,</w:t>
      </w:r>
      <w:r w:rsidR="003D28E0" w:rsidRPr="003D28E0">
        <w:rPr>
          <w:rFonts w:ascii="Times New Roman" w:hAnsi="Times New Roman" w:cs="Times New Roman"/>
          <w:sz w:val="24"/>
          <w:szCs w:val="24"/>
        </w:rPr>
        <w:t xml:space="preserve"> and New York University School of Medicine/Langone Medical Center</w:t>
      </w:r>
      <w:r w:rsidR="003D28E0">
        <w:rPr>
          <w:rFonts w:ascii="Times New Roman" w:hAnsi="Times New Roman" w:cs="Times New Roman"/>
          <w:sz w:val="24"/>
          <w:szCs w:val="24"/>
        </w:rPr>
        <w:t>.</w:t>
      </w:r>
      <w:commentRangeEnd w:id="0"/>
      <w:r w:rsidR="003D28E0">
        <w:rPr>
          <w:rStyle w:val="CommentReference"/>
        </w:rPr>
        <w:commentReference w:id="0"/>
      </w:r>
    </w:p>
    <w:p w14:paraId="279B2268" w14:textId="75E0D26B" w:rsidR="00B13AC7" w:rsidRDefault="00B13AC7" w:rsidP="002558A4">
      <w:pPr>
        <w:rPr>
          <w:rFonts w:ascii="Times New Roman" w:hAnsi="Times New Roman" w:cs="Times New Roman"/>
          <w:sz w:val="24"/>
          <w:szCs w:val="24"/>
        </w:rPr>
      </w:pPr>
      <w:r>
        <w:rPr>
          <w:rFonts w:ascii="Times New Roman" w:hAnsi="Times New Roman" w:cs="Times New Roman"/>
          <w:i/>
          <w:iCs/>
          <w:sz w:val="24"/>
          <w:szCs w:val="24"/>
          <w:u w:val="single"/>
        </w:rPr>
        <w:t>Data Sources</w:t>
      </w:r>
    </w:p>
    <w:p w14:paraId="2E5D7C6A" w14:textId="71963764" w:rsidR="003D16AC" w:rsidRDefault="003D16AC" w:rsidP="002558A4">
      <w:pPr>
        <w:rPr>
          <w:rFonts w:ascii="Times New Roman" w:hAnsi="Times New Roman" w:cs="Times New Roman"/>
          <w:sz w:val="24"/>
          <w:szCs w:val="24"/>
        </w:rPr>
      </w:pPr>
      <w:r>
        <w:rPr>
          <w:rFonts w:ascii="Times New Roman" w:hAnsi="Times New Roman" w:cs="Times New Roman"/>
          <w:sz w:val="24"/>
          <w:szCs w:val="24"/>
        </w:rPr>
        <w:t xml:space="preserve">Patient demographic and health information was obtained via electronic medical records from each institution. </w:t>
      </w:r>
      <w:r w:rsidR="0033475A">
        <w:rPr>
          <w:rFonts w:ascii="Times New Roman" w:hAnsi="Times New Roman" w:cs="Times New Roman"/>
          <w:sz w:val="24"/>
          <w:szCs w:val="24"/>
        </w:rPr>
        <w:t>Only the</w:t>
      </w:r>
      <w:r>
        <w:rPr>
          <w:rFonts w:ascii="Times New Roman" w:hAnsi="Times New Roman" w:cs="Times New Roman"/>
          <w:sz w:val="24"/>
          <w:szCs w:val="24"/>
        </w:rPr>
        <w:t xml:space="preserve"> average air pollution exposure and neighborhood vulnerability index </w:t>
      </w:r>
      <w:r w:rsidR="0033475A">
        <w:rPr>
          <w:rFonts w:ascii="Times New Roman" w:hAnsi="Times New Roman" w:cs="Times New Roman"/>
          <w:sz w:val="24"/>
          <w:szCs w:val="24"/>
        </w:rPr>
        <w:t>variables did not come</w:t>
      </w:r>
      <w:r>
        <w:rPr>
          <w:rFonts w:ascii="Times New Roman" w:hAnsi="Times New Roman" w:cs="Times New Roman"/>
          <w:sz w:val="24"/>
          <w:szCs w:val="24"/>
        </w:rPr>
        <w:t xml:space="preserve"> from electronic medical records.</w:t>
      </w:r>
    </w:p>
    <w:p w14:paraId="47BE3D7A" w14:textId="3A084E23" w:rsidR="003D28E0" w:rsidRDefault="003D16AC" w:rsidP="002558A4">
      <w:pPr>
        <w:rPr>
          <w:rFonts w:ascii="Times New Roman" w:hAnsi="Times New Roman" w:cs="Times New Roman"/>
          <w:sz w:val="24"/>
          <w:szCs w:val="24"/>
        </w:rPr>
      </w:pPr>
      <w:r>
        <w:rPr>
          <w:rFonts w:ascii="Times New Roman" w:hAnsi="Times New Roman" w:cs="Times New Roman"/>
          <w:sz w:val="24"/>
          <w:szCs w:val="24"/>
        </w:rPr>
        <w:t>Long-term air pollution was represented by a 10-year averaged PM2.5 exposure variable, gathered from the New York City Community Air Survey</w:t>
      </w:r>
      <w:r w:rsidR="0055380A">
        <w:rPr>
          <w:rFonts w:ascii="Times New Roman" w:hAnsi="Times New Roman" w:cs="Times New Roman"/>
          <w:sz w:val="24"/>
          <w:szCs w:val="24"/>
        </w:rPr>
        <w:t xml:space="preserve"> (NYCCAS)</w:t>
      </w:r>
      <w:r>
        <w:rPr>
          <w:rFonts w:ascii="Times New Roman" w:hAnsi="Times New Roman" w:cs="Times New Roman"/>
          <w:sz w:val="24"/>
          <w:szCs w:val="24"/>
        </w:rPr>
        <w:t>.</w:t>
      </w:r>
      <w:r w:rsidR="00B26ABE">
        <w:rPr>
          <w:rFonts w:ascii="Times New Roman" w:hAnsi="Times New Roman" w:cs="Times New Roman"/>
          <w:sz w:val="24"/>
          <w:szCs w:val="24"/>
        </w:rPr>
        <w:fldChar w:fldCharType="begin"/>
      </w:r>
      <w:r w:rsidR="00B26ABE">
        <w:rPr>
          <w:rFonts w:ascii="Times New Roman" w:hAnsi="Times New Roman" w:cs="Times New Roman"/>
          <w:sz w:val="24"/>
          <w:szCs w:val="24"/>
        </w:rPr>
        <w:instrText xml:space="preserve"> ADDIN ZOTERO_ITEM CSL_CITATION {"citationID":"UxkAaT1Y","properties":{"formattedCitation":"\\super 20\\nosupersub{}","plainCitation":"20","noteIndex":0},"citationItems":[{"id":1746,"uris":["http://zotero.org/groups/4817000/items/AY8P4ABA"],"itemData":{"id":1746,"type":"article-journal","container-title":"Journal of Exposure Science &amp; Environmental Epidemiology","DOI":"10.1038/jes.2012.126","ISSN":"1559-0631, 1559-064X","issue":"3","journalAbbreviation":"J Expo Sci Environ Epidemiol","language":"en","page":"223-231","source":"DOI.org (Crossref)","title":"Monitoring intraurban spatial patterns of multiple combustion air pollutants in New York City: Design and implementation","title-short":"Monitoring intraurban spatial patterns of multiple combustion air pollutants in New York City","volume":"23","author":[{"family":"Matte","given":"Thomas D"},{"family":"Ross","given":"Zev"},{"family":"Kheirbek","given":"Iyad"},{"family":"Eisl","given":"Holger"},{"family":"Johnson","given":"Sarah"},{"family":"Gorczynski","given":"John E"},{"family":"Kass","given":"Daniel"},{"family":"Markowitz","given":"Steven"},{"family":"Pezeshki","given":"Grant"},{"family":"Clougherty","given":"Jane E"}],"issued":{"date-parts":[["2013",5]]}}}],"schema":"https://github.com/citation-style-language/schema/raw/master/csl-citation.json"} </w:instrText>
      </w:r>
      <w:r w:rsidR="00B26ABE">
        <w:rPr>
          <w:rFonts w:ascii="Times New Roman" w:hAnsi="Times New Roman" w:cs="Times New Roman"/>
          <w:sz w:val="24"/>
          <w:szCs w:val="24"/>
        </w:rPr>
        <w:fldChar w:fldCharType="separate"/>
      </w:r>
      <w:r w:rsidR="00B26ABE" w:rsidRPr="00B26ABE">
        <w:rPr>
          <w:rFonts w:ascii="Times New Roman" w:hAnsi="Times New Roman" w:cs="Times New Roman"/>
          <w:sz w:val="24"/>
          <w:vertAlign w:val="superscript"/>
        </w:rPr>
        <w:t>20</w:t>
      </w:r>
      <w:r w:rsidR="00B26ABE">
        <w:rPr>
          <w:rFonts w:ascii="Times New Roman" w:hAnsi="Times New Roman" w:cs="Times New Roman"/>
          <w:sz w:val="24"/>
          <w:szCs w:val="24"/>
        </w:rPr>
        <w:fldChar w:fldCharType="end"/>
      </w:r>
    </w:p>
    <w:p w14:paraId="5320E3AF" w14:textId="61AB8147" w:rsidR="0033475A" w:rsidRDefault="003D16AC" w:rsidP="002558A4">
      <w:pPr>
        <w:rPr>
          <w:rFonts w:ascii="Times New Roman" w:hAnsi="Times New Roman" w:cs="Times New Roman"/>
          <w:sz w:val="24"/>
          <w:szCs w:val="24"/>
        </w:rPr>
      </w:pPr>
      <w:r>
        <w:rPr>
          <w:rFonts w:ascii="Times New Roman" w:hAnsi="Times New Roman" w:cs="Times New Roman"/>
          <w:sz w:val="24"/>
          <w:szCs w:val="24"/>
        </w:rPr>
        <w:t>Neighborhood vulnerability index</w:t>
      </w:r>
      <w:r w:rsidR="0033475A">
        <w:rPr>
          <w:rFonts w:ascii="Times New Roman" w:hAnsi="Times New Roman" w:cs="Times New Roman"/>
          <w:sz w:val="24"/>
          <w:szCs w:val="24"/>
        </w:rPr>
        <w:t xml:space="preserve"> (NEVI)</w:t>
      </w:r>
      <w:r>
        <w:rPr>
          <w:rFonts w:ascii="Times New Roman" w:hAnsi="Times New Roman" w:cs="Times New Roman"/>
          <w:sz w:val="24"/>
          <w:szCs w:val="24"/>
        </w:rPr>
        <w:t xml:space="preserve"> was </w:t>
      </w:r>
      <w:r w:rsidR="0033475A">
        <w:rPr>
          <w:rFonts w:ascii="Times New Roman" w:hAnsi="Times New Roman" w:cs="Times New Roman"/>
          <w:sz w:val="24"/>
          <w:szCs w:val="24"/>
        </w:rPr>
        <w:t xml:space="preserve">constructed for each NYC residential zip code tabulation area (ZCTA) using the </w:t>
      </w:r>
      <w:r w:rsidR="0033475A" w:rsidRPr="0033475A">
        <w:rPr>
          <w:rFonts w:ascii="Times New Roman" w:hAnsi="Times New Roman" w:cs="Times New Roman"/>
          <w:sz w:val="24"/>
          <w:szCs w:val="24"/>
        </w:rPr>
        <w:t>toxicological prioritization</w:t>
      </w:r>
      <w:r w:rsidR="0033475A">
        <w:rPr>
          <w:rFonts w:ascii="Times New Roman" w:hAnsi="Times New Roman" w:cs="Times New Roman"/>
          <w:sz w:val="24"/>
          <w:szCs w:val="24"/>
        </w:rPr>
        <w:t xml:space="preserve"> </w:t>
      </w:r>
      <w:r w:rsidR="0033475A" w:rsidRPr="0033475A">
        <w:rPr>
          <w:rFonts w:ascii="Times New Roman" w:hAnsi="Times New Roman" w:cs="Times New Roman"/>
          <w:sz w:val="24"/>
          <w:szCs w:val="24"/>
        </w:rPr>
        <w:t>index (</w:t>
      </w:r>
      <w:proofErr w:type="spellStart"/>
      <w:r w:rsidR="0033475A" w:rsidRPr="0033475A">
        <w:rPr>
          <w:rFonts w:ascii="Times New Roman" w:hAnsi="Times New Roman" w:cs="Times New Roman"/>
          <w:sz w:val="24"/>
          <w:szCs w:val="24"/>
        </w:rPr>
        <w:t>ToxPi</w:t>
      </w:r>
      <w:proofErr w:type="spellEnd"/>
      <w:r w:rsidR="0033475A" w:rsidRPr="0033475A">
        <w:rPr>
          <w:rFonts w:ascii="Times New Roman" w:hAnsi="Times New Roman" w:cs="Times New Roman"/>
          <w:sz w:val="24"/>
          <w:szCs w:val="24"/>
        </w:rPr>
        <w:t>)</w:t>
      </w:r>
      <w:r w:rsidR="0033475A">
        <w:rPr>
          <w:rFonts w:ascii="Times New Roman" w:hAnsi="Times New Roman" w:cs="Times New Roman"/>
          <w:sz w:val="24"/>
          <w:szCs w:val="24"/>
        </w:rPr>
        <w:t xml:space="preserve"> profiling and clustering approach; these methods have been described elsewhere.</w:t>
      </w:r>
      <w:r w:rsidR="00B26ABE">
        <w:rPr>
          <w:rFonts w:ascii="Times New Roman" w:hAnsi="Times New Roman" w:cs="Times New Roman"/>
          <w:sz w:val="24"/>
          <w:szCs w:val="24"/>
        </w:rPr>
        <w:fldChar w:fldCharType="begin"/>
      </w:r>
      <w:r w:rsidR="00B26ABE">
        <w:rPr>
          <w:rFonts w:ascii="Times New Roman" w:hAnsi="Times New Roman" w:cs="Times New Roman"/>
          <w:sz w:val="24"/>
          <w:szCs w:val="24"/>
        </w:rPr>
        <w:instrText xml:space="preserve"> ADDIN ZOTERO_ITEM CSL_CITATION {"citationID":"SdOso7xm","properties":{"formattedCitation":"\\super 21\\nosupersub{}","plainCitation":"21","noteIndex":0},"citationItems":[{"id":1747,"uris":["http://zotero.org/groups/4817000/items/QA3TX6M5"],"itemData":{"id":1747,"type":"article-journal","container-title":"Environmental Health Perspectives","DOI":"10.1289/ehp.1002180","ISSN":"0091-6765, 1552-9924","issue":"12","journalAbbreviation":"Environmental Health Perspectives","language":"en","page":"1714-1720","source":"DOI.org (Crossref)","title":"Endocrine Profiling and Prioritization of Environmental Chemicals Using ToxCast Data","volume":"118","author":[{"family":"Reif","given":"David M."},{"family":"Martin","given":"Matthew T."},{"family":"Tan","given":"Shirlee W."},{"family":"Houck","given":"Keith A."},{"family":"Judson","given":"Richard S."},{"family":"Richard","given":"Ann M."},{"family":"Knudsen","given":"Thomas B."},{"family":"Dix","given":"David J."},{"family":"Kavlock","given":"Robert J."}],"issued":{"date-parts":[["2010",12]]}}}],"schema":"https://github.com/citation-style-language/schema/raw/master/csl-citation.json"} </w:instrText>
      </w:r>
      <w:r w:rsidR="00B26ABE">
        <w:rPr>
          <w:rFonts w:ascii="Times New Roman" w:hAnsi="Times New Roman" w:cs="Times New Roman"/>
          <w:sz w:val="24"/>
          <w:szCs w:val="24"/>
        </w:rPr>
        <w:fldChar w:fldCharType="separate"/>
      </w:r>
      <w:r w:rsidR="00B26ABE" w:rsidRPr="00B26ABE">
        <w:rPr>
          <w:rFonts w:ascii="Times New Roman" w:hAnsi="Times New Roman" w:cs="Times New Roman"/>
          <w:sz w:val="24"/>
          <w:vertAlign w:val="superscript"/>
        </w:rPr>
        <w:t>21</w:t>
      </w:r>
      <w:r w:rsidR="00B26ABE">
        <w:rPr>
          <w:rFonts w:ascii="Times New Roman" w:hAnsi="Times New Roman" w:cs="Times New Roman"/>
          <w:sz w:val="24"/>
          <w:szCs w:val="24"/>
        </w:rPr>
        <w:fldChar w:fldCharType="end"/>
      </w:r>
      <w:r w:rsidR="0033475A">
        <w:rPr>
          <w:rFonts w:ascii="Times New Roman" w:hAnsi="Times New Roman" w:cs="Times New Roman"/>
          <w:sz w:val="24"/>
          <w:szCs w:val="24"/>
        </w:rPr>
        <w:t xml:space="preserve"> Our constructed NEVI included only neighborhood-level social, economic, and chronic disease factors. Air pollution metrics were not included in the construction of the NEVI to allow us to examine the direct effects of socioeconomic factors, separate from the effects of air pollution. </w:t>
      </w:r>
    </w:p>
    <w:p w14:paraId="185BB741" w14:textId="08B1F700" w:rsidR="00B13AC7" w:rsidRPr="00B13AC7" w:rsidRDefault="00B13AC7" w:rsidP="002558A4">
      <w:pPr>
        <w:rPr>
          <w:rFonts w:ascii="Times New Roman" w:hAnsi="Times New Roman" w:cs="Times New Roman"/>
          <w:i/>
          <w:iCs/>
          <w:sz w:val="24"/>
          <w:szCs w:val="24"/>
          <w:u w:val="single"/>
        </w:rPr>
      </w:pPr>
      <w:r>
        <w:rPr>
          <w:rFonts w:ascii="Times New Roman" w:hAnsi="Times New Roman" w:cs="Times New Roman"/>
          <w:i/>
          <w:iCs/>
          <w:sz w:val="24"/>
          <w:szCs w:val="24"/>
          <w:u w:val="single"/>
        </w:rPr>
        <w:t>COVID-19 Infection Assessment</w:t>
      </w:r>
    </w:p>
    <w:p w14:paraId="1FB549BA" w14:textId="1543CE1C" w:rsidR="00B13AC7" w:rsidRDefault="0033475A" w:rsidP="00B13AC7">
      <w:pPr>
        <w:rPr>
          <w:rFonts w:ascii="Times New Roman" w:hAnsi="Times New Roman" w:cs="Times New Roman"/>
          <w:sz w:val="24"/>
          <w:szCs w:val="24"/>
        </w:rPr>
      </w:pPr>
      <w:r>
        <w:rPr>
          <w:rFonts w:ascii="Times New Roman" w:hAnsi="Times New Roman" w:cs="Times New Roman"/>
          <w:sz w:val="24"/>
          <w:szCs w:val="24"/>
        </w:rPr>
        <w:t xml:space="preserve">During the study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u</w:t>
      </w:r>
      <w:r w:rsidR="00B13AC7">
        <w:rPr>
          <w:rFonts w:ascii="Times New Roman" w:hAnsi="Times New Roman" w:cs="Times New Roman"/>
          <w:sz w:val="24"/>
          <w:szCs w:val="24"/>
        </w:rPr>
        <w:t>niversal SARS-CoV-2 nasopharyngeal quantitative polymerase chain reaction (PCR) testing was performed at delivery for every patient</w:t>
      </w:r>
      <w:r>
        <w:rPr>
          <w:rFonts w:ascii="Times New Roman" w:hAnsi="Times New Roman" w:cs="Times New Roman"/>
          <w:sz w:val="24"/>
          <w:szCs w:val="24"/>
        </w:rPr>
        <w:t xml:space="preserve"> giving birth</w:t>
      </w:r>
      <w:r w:rsidR="00B13AC7">
        <w:rPr>
          <w:rFonts w:ascii="Times New Roman" w:hAnsi="Times New Roman" w:cs="Times New Roman"/>
          <w:sz w:val="24"/>
          <w:szCs w:val="24"/>
        </w:rPr>
        <w:t xml:space="preserve"> in New York City. </w:t>
      </w:r>
      <w:r>
        <w:rPr>
          <w:rFonts w:ascii="Times New Roman" w:hAnsi="Times New Roman" w:cs="Times New Roman"/>
          <w:sz w:val="24"/>
          <w:szCs w:val="24"/>
        </w:rPr>
        <w:t>The electronic medical record contained information whether these patients tested positive or negative for SARS-CoV-2 at the time of delivery.</w:t>
      </w:r>
    </w:p>
    <w:p w14:paraId="3D0011AE" w14:textId="610EE424" w:rsidR="0033475A" w:rsidRPr="00B13AC7" w:rsidRDefault="0033475A" w:rsidP="0033475A">
      <w:pPr>
        <w:rPr>
          <w:rFonts w:ascii="Times New Roman" w:hAnsi="Times New Roman" w:cs="Times New Roman"/>
          <w:i/>
          <w:iCs/>
          <w:sz w:val="24"/>
          <w:szCs w:val="24"/>
          <w:u w:val="single"/>
        </w:rPr>
      </w:pPr>
      <w:r>
        <w:rPr>
          <w:rFonts w:ascii="Times New Roman" w:hAnsi="Times New Roman" w:cs="Times New Roman"/>
          <w:i/>
          <w:iCs/>
          <w:sz w:val="24"/>
          <w:szCs w:val="24"/>
          <w:u w:val="single"/>
        </w:rPr>
        <w:t>Air Pollution</w:t>
      </w:r>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t>Exposure</w:t>
      </w:r>
    </w:p>
    <w:p w14:paraId="66FB3C92" w14:textId="3A8C9DF8" w:rsidR="0033475A" w:rsidRDefault="0055380A" w:rsidP="00B13AC7">
      <w:pPr>
        <w:rPr>
          <w:rFonts w:ascii="Times New Roman" w:hAnsi="Times New Roman" w:cs="Times New Roman"/>
          <w:sz w:val="24"/>
          <w:szCs w:val="24"/>
        </w:rPr>
      </w:pPr>
      <w:r>
        <w:rPr>
          <w:rFonts w:ascii="Times New Roman" w:hAnsi="Times New Roman" w:cs="Times New Roman"/>
          <w:sz w:val="24"/>
          <w:szCs w:val="24"/>
        </w:rPr>
        <w:lastRenderedPageBreak/>
        <w:t>Air pollution data was obtained from the NYCCAS. We represented long-term air pollution using a 10-year averaged PM2.5 exposure level. Participants were assigned an average PM2.5 level based on their zip code of residence at the time of delivery.</w:t>
      </w:r>
      <w:r w:rsidR="003F45B9">
        <w:rPr>
          <w:rFonts w:ascii="Times New Roman" w:hAnsi="Times New Roman" w:cs="Times New Roman"/>
          <w:sz w:val="24"/>
          <w:szCs w:val="24"/>
        </w:rPr>
        <w:t xml:space="preserve"> The continuous averaged air pollution variable was then split into quartiles. This categorical variable was used in all analyses.</w:t>
      </w:r>
    </w:p>
    <w:p w14:paraId="74D5D55E" w14:textId="06D4EDFD" w:rsidR="0055380A" w:rsidRDefault="0055380A" w:rsidP="00B13AC7">
      <w:pPr>
        <w:rPr>
          <w:rFonts w:ascii="Times New Roman" w:hAnsi="Times New Roman" w:cs="Times New Roman"/>
          <w:sz w:val="24"/>
          <w:szCs w:val="24"/>
        </w:rPr>
      </w:pPr>
      <w:r>
        <w:rPr>
          <w:rFonts w:ascii="Times New Roman" w:hAnsi="Times New Roman" w:cs="Times New Roman"/>
          <w:i/>
          <w:iCs/>
          <w:sz w:val="24"/>
          <w:szCs w:val="24"/>
          <w:u w:val="single"/>
        </w:rPr>
        <w:t>Birth Outcomes</w:t>
      </w:r>
    </w:p>
    <w:p w14:paraId="618F55AC" w14:textId="6CBC2398" w:rsidR="0055380A" w:rsidRPr="0055380A" w:rsidRDefault="0055380A" w:rsidP="00B13AC7">
      <w:pPr>
        <w:rPr>
          <w:rFonts w:ascii="Times New Roman" w:hAnsi="Times New Roman" w:cs="Times New Roman"/>
          <w:sz w:val="24"/>
          <w:szCs w:val="24"/>
        </w:rPr>
      </w:pPr>
      <w:r>
        <w:rPr>
          <w:rFonts w:ascii="Times New Roman" w:hAnsi="Times New Roman" w:cs="Times New Roman"/>
          <w:sz w:val="24"/>
          <w:szCs w:val="24"/>
        </w:rPr>
        <w:t>Our outcomes of interest in this study were delivery type (cesarean or vaginal) and pre-eclampsia status to represent hypertension during pregnancy. While we were interested in examining the impact of COVID-19 infection and air pollution on stillbirth and maternal mortality as well, the low rates of these adverse birth outcomes in our study population contributed to an underpowered analysis—these outcomes were consequently dropped.</w:t>
      </w:r>
    </w:p>
    <w:p w14:paraId="4884BDF1" w14:textId="30A79705" w:rsidR="00B13AC7" w:rsidRDefault="0055380A" w:rsidP="002558A4">
      <w:pPr>
        <w:rPr>
          <w:rFonts w:ascii="Times New Roman" w:hAnsi="Times New Roman" w:cs="Times New Roman"/>
          <w:sz w:val="24"/>
          <w:szCs w:val="24"/>
        </w:rPr>
      </w:pPr>
      <w:r>
        <w:rPr>
          <w:rFonts w:ascii="Times New Roman" w:hAnsi="Times New Roman" w:cs="Times New Roman"/>
          <w:i/>
          <w:iCs/>
          <w:sz w:val="24"/>
          <w:szCs w:val="24"/>
          <w:u w:val="single"/>
        </w:rPr>
        <w:t>Covariates</w:t>
      </w:r>
    </w:p>
    <w:p w14:paraId="064B4E58" w14:textId="5799760A" w:rsidR="0055380A" w:rsidRDefault="0055380A" w:rsidP="00CC4E2A">
      <w:pPr>
        <w:rPr>
          <w:rFonts w:ascii="Times New Roman" w:hAnsi="Times New Roman" w:cs="Times New Roman"/>
          <w:sz w:val="24"/>
          <w:szCs w:val="24"/>
        </w:rPr>
      </w:pPr>
      <w:r>
        <w:rPr>
          <w:rFonts w:ascii="Times New Roman" w:hAnsi="Times New Roman" w:cs="Times New Roman"/>
          <w:sz w:val="24"/>
          <w:szCs w:val="24"/>
        </w:rPr>
        <w:t>We created a directed acyclic graph to hypothesize potential confounders</w:t>
      </w:r>
      <w:r w:rsidR="00B26ABE">
        <w:rPr>
          <w:rFonts w:ascii="Times New Roman" w:hAnsi="Times New Roman" w:cs="Times New Roman"/>
          <w:sz w:val="24"/>
          <w:szCs w:val="24"/>
        </w:rPr>
        <w:t xml:space="preserve"> (Figure 1)</w:t>
      </w:r>
      <w:r>
        <w:rPr>
          <w:rFonts w:ascii="Times New Roman" w:hAnsi="Times New Roman" w:cs="Times New Roman"/>
          <w:sz w:val="24"/>
          <w:szCs w:val="24"/>
        </w:rPr>
        <w:t xml:space="preserve">. </w:t>
      </w:r>
      <w:r w:rsidR="00CC4E2A">
        <w:rPr>
          <w:rFonts w:ascii="Times New Roman" w:hAnsi="Times New Roman" w:cs="Times New Roman"/>
          <w:sz w:val="24"/>
          <w:szCs w:val="24"/>
        </w:rPr>
        <w:t>We used a m</w:t>
      </w:r>
      <w:r w:rsidR="00CC4E2A" w:rsidRPr="00CC4E2A">
        <w:rPr>
          <w:rFonts w:ascii="Times New Roman" w:hAnsi="Times New Roman" w:cs="Times New Roman"/>
          <w:sz w:val="24"/>
          <w:szCs w:val="24"/>
        </w:rPr>
        <w:t>inimal</w:t>
      </w:r>
      <w:r w:rsidR="00CC4E2A">
        <w:rPr>
          <w:rFonts w:ascii="Times New Roman" w:hAnsi="Times New Roman" w:cs="Times New Roman"/>
          <w:sz w:val="24"/>
          <w:szCs w:val="24"/>
        </w:rPr>
        <w:t>ly</w:t>
      </w:r>
      <w:r w:rsidR="00CC4E2A" w:rsidRPr="00CC4E2A">
        <w:rPr>
          <w:rFonts w:ascii="Times New Roman" w:hAnsi="Times New Roman" w:cs="Times New Roman"/>
          <w:sz w:val="24"/>
          <w:szCs w:val="24"/>
        </w:rPr>
        <w:t xml:space="preserve"> sufficient adjustment set for estimating the total effect of COVID-19 </w:t>
      </w:r>
      <w:r w:rsidR="00CC4E2A">
        <w:rPr>
          <w:rFonts w:ascii="Times New Roman" w:hAnsi="Times New Roman" w:cs="Times New Roman"/>
          <w:sz w:val="24"/>
          <w:szCs w:val="24"/>
        </w:rPr>
        <w:t>i</w:t>
      </w:r>
      <w:r w:rsidR="00CC4E2A" w:rsidRPr="00CC4E2A">
        <w:rPr>
          <w:rFonts w:ascii="Times New Roman" w:hAnsi="Times New Roman" w:cs="Times New Roman"/>
          <w:sz w:val="24"/>
          <w:szCs w:val="24"/>
        </w:rPr>
        <w:t>nfection on</w:t>
      </w:r>
      <w:r w:rsidR="00CC4E2A">
        <w:rPr>
          <w:rFonts w:ascii="Times New Roman" w:hAnsi="Times New Roman" w:cs="Times New Roman"/>
          <w:sz w:val="24"/>
          <w:szCs w:val="24"/>
        </w:rPr>
        <w:t xml:space="preserve"> delivery type and pre-eclampsia status. These covariates included diabetes status, asthma status, ever-smoker status, maternal age at birth, and the NEVI.</w:t>
      </w:r>
    </w:p>
    <w:p w14:paraId="2A75BFA4" w14:textId="1241A8F2" w:rsidR="00CC4E2A" w:rsidRDefault="00CC4E2A" w:rsidP="00CC4E2A">
      <w:pPr>
        <w:rPr>
          <w:rFonts w:ascii="Times New Roman" w:hAnsi="Times New Roman" w:cs="Times New Roman"/>
          <w:sz w:val="24"/>
          <w:szCs w:val="24"/>
        </w:rPr>
      </w:pPr>
      <w:r>
        <w:rPr>
          <w:rFonts w:ascii="Times New Roman" w:hAnsi="Times New Roman" w:cs="Times New Roman"/>
          <w:i/>
          <w:iCs/>
          <w:sz w:val="24"/>
          <w:szCs w:val="24"/>
          <w:u w:val="single"/>
        </w:rPr>
        <w:t>Statistical Analysis</w:t>
      </w:r>
    </w:p>
    <w:p w14:paraId="4E30FB55" w14:textId="77777777" w:rsidR="00FA6AA1" w:rsidRDefault="00CC4E2A" w:rsidP="00CC4E2A">
      <w:pPr>
        <w:rPr>
          <w:rFonts w:ascii="Times New Roman" w:hAnsi="Times New Roman" w:cs="Times New Roman"/>
          <w:sz w:val="24"/>
          <w:szCs w:val="24"/>
        </w:rPr>
      </w:pPr>
      <w:r>
        <w:rPr>
          <w:rFonts w:ascii="Times New Roman" w:hAnsi="Times New Roman" w:cs="Times New Roman"/>
          <w:sz w:val="24"/>
          <w:szCs w:val="24"/>
        </w:rPr>
        <w:t xml:space="preserve">We performed multivariate logistical regression models to examine the effects of COVID-19 infection and long-term air pollution on each of the two birth outcomes. </w:t>
      </w:r>
      <w:r w:rsidR="00FA6AA1">
        <w:rPr>
          <w:rFonts w:ascii="Times New Roman" w:hAnsi="Times New Roman" w:cs="Times New Roman"/>
          <w:sz w:val="24"/>
          <w:szCs w:val="24"/>
        </w:rPr>
        <w:t xml:space="preserve">Because the effects of SARS-CoV-2 have been distinct based on circulating variants, all analyses were stratified on the wave of the pandemic during which patients gave birth. We defined the first wave to be from March 2020 to June 2020, the second wave to be from July 2020 to October 2020, and the third wave to be from November 2020 to February 2021. </w:t>
      </w:r>
    </w:p>
    <w:p w14:paraId="4DC5E041" w14:textId="4B92AD05" w:rsidR="00FA6AA1" w:rsidRDefault="00FA6AA1" w:rsidP="00FA6AA1">
      <w:pPr>
        <w:rPr>
          <w:rFonts w:ascii="Times New Roman" w:hAnsi="Times New Roman" w:cs="Times New Roman"/>
          <w:sz w:val="24"/>
          <w:szCs w:val="24"/>
        </w:rPr>
      </w:pPr>
      <w:r>
        <w:rPr>
          <w:rFonts w:ascii="Times New Roman" w:hAnsi="Times New Roman" w:cs="Times New Roman"/>
          <w:sz w:val="24"/>
          <w:szCs w:val="24"/>
        </w:rPr>
        <w:t>We</w:t>
      </w:r>
      <w:r w:rsidR="00CC4E2A">
        <w:rPr>
          <w:rFonts w:ascii="Times New Roman" w:hAnsi="Times New Roman" w:cs="Times New Roman"/>
          <w:sz w:val="24"/>
          <w:szCs w:val="24"/>
        </w:rPr>
        <w:t xml:space="preserve"> model</w:t>
      </w:r>
      <w:r>
        <w:rPr>
          <w:rFonts w:ascii="Times New Roman" w:hAnsi="Times New Roman" w:cs="Times New Roman"/>
          <w:sz w:val="24"/>
          <w:szCs w:val="24"/>
        </w:rPr>
        <w:t>ed</w:t>
      </w:r>
      <w:r w:rsidR="00CC4E2A">
        <w:rPr>
          <w:rFonts w:ascii="Times New Roman" w:hAnsi="Times New Roman" w:cs="Times New Roman"/>
          <w:sz w:val="24"/>
          <w:szCs w:val="24"/>
        </w:rPr>
        <w:t xml:space="preserve"> </w:t>
      </w:r>
      <w:r>
        <w:rPr>
          <w:rFonts w:ascii="Times New Roman" w:hAnsi="Times New Roman" w:cs="Times New Roman"/>
          <w:sz w:val="24"/>
          <w:szCs w:val="24"/>
        </w:rPr>
        <w:t xml:space="preserve">the effects of COVID-19 infection on delivery type and pre-eclampsia status in crude models, then separately added </w:t>
      </w:r>
      <w:r w:rsidR="003F45B9">
        <w:rPr>
          <w:rFonts w:ascii="Times New Roman" w:hAnsi="Times New Roman" w:cs="Times New Roman"/>
          <w:sz w:val="24"/>
          <w:szCs w:val="24"/>
        </w:rPr>
        <w:t>an</w:t>
      </w:r>
      <w:r>
        <w:rPr>
          <w:rFonts w:ascii="Times New Roman" w:hAnsi="Times New Roman" w:cs="Times New Roman"/>
          <w:sz w:val="24"/>
          <w:szCs w:val="24"/>
        </w:rPr>
        <w:t xml:space="preserve"> interaction term </w:t>
      </w:r>
      <w:r w:rsidR="003F45B9">
        <w:rPr>
          <w:rFonts w:ascii="Times New Roman" w:hAnsi="Times New Roman" w:cs="Times New Roman"/>
          <w:sz w:val="24"/>
          <w:szCs w:val="24"/>
        </w:rPr>
        <w:t>to test for effect modification by the</w:t>
      </w:r>
      <w:r>
        <w:rPr>
          <w:rFonts w:ascii="Times New Roman" w:hAnsi="Times New Roman" w:cs="Times New Roman"/>
          <w:sz w:val="24"/>
          <w:szCs w:val="24"/>
        </w:rPr>
        <w:t xml:space="preserve"> </w:t>
      </w:r>
      <w:r w:rsidR="003F45B9">
        <w:rPr>
          <w:rFonts w:ascii="Times New Roman" w:hAnsi="Times New Roman" w:cs="Times New Roman"/>
          <w:sz w:val="24"/>
          <w:szCs w:val="24"/>
        </w:rPr>
        <w:t>categorical air pollution variable</w:t>
      </w:r>
      <w:r>
        <w:rPr>
          <w:rFonts w:ascii="Times New Roman" w:hAnsi="Times New Roman" w:cs="Times New Roman"/>
          <w:sz w:val="24"/>
          <w:szCs w:val="24"/>
        </w:rPr>
        <w:t>. Adjusted models included the following covariates: asthma status (yes/no)</w:t>
      </w:r>
      <w:r w:rsidRPr="00FA6AA1">
        <w:rPr>
          <w:rFonts w:ascii="Times New Roman" w:hAnsi="Times New Roman" w:cs="Times New Roman"/>
          <w:sz w:val="24"/>
          <w:szCs w:val="24"/>
        </w:rPr>
        <w:t xml:space="preserve">, </w:t>
      </w:r>
      <w:r>
        <w:rPr>
          <w:rFonts w:ascii="Times New Roman" w:hAnsi="Times New Roman" w:cs="Times New Roman"/>
          <w:sz w:val="24"/>
          <w:szCs w:val="24"/>
        </w:rPr>
        <w:t>d</w:t>
      </w:r>
      <w:r w:rsidRPr="00FA6AA1">
        <w:rPr>
          <w:rFonts w:ascii="Times New Roman" w:hAnsi="Times New Roman" w:cs="Times New Roman"/>
          <w:sz w:val="24"/>
          <w:szCs w:val="24"/>
        </w:rPr>
        <w:t>iabetes</w:t>
      </w:r>
      <w:r>
        <w:rPr>
          <w:rFonts w:ascii="Times New Roman" w:hAnsi="Times New Roman" w:cs="Times New Roman"/>
          <w:sz w:val="24"/>
          <w:szCs w:val="24"/>
        </w:rPr>
        <w:t xml:space="preserve"> status (defined as having any diabetes</w:t>
      </w:r>
      <w:r w:rsidR="00256293">
        <w:rPr>
          <w:rFonts w:ascii="Times New Roman" w:hAnsi="Times New Roman" w:cs="Times New Roman"/>
          <w:sz w:val="24"/>
          <w:szCs w:val="24"/>
        </w:rPr>
        <w:t xml:space="preserve"> diagnosis in the medical record</w:t>
      </w:r>
      <w:r>
        <w:rPr>
          <w:rFonts w:ascii="Times New Roman" w:hAnsi="Times New Roman" w:cs="Times New Roman"/>
          <w:sz w:val="24"/>
          <w:szCs w:val="24"/>
        </w:rPr>
        <w:t>)</w:t>
      </w:r>
      <w:r w:rsidRPr="00FA6AA1">
        <w:rPr>
          <w:rFonts w:ascii="Times New Roman" w:hAnsi="Times New Roman" w:cs="Times New Roman"/>
          <w:sz w:val="24"/>
          <w:szCs w:val="24"/>
        </w:rPr>
        <w:t xml:space="preserve">, </w:t>
      </w:r>
      <w:r w:rsidR="00256293">
        <w:rPr>
          <w:rFonts w:ascii="Times New Roman" w:hAnsi="Times New Roman" w:cs="Times New Roman"/>
          <w:sz w:val="24"/>
          <w:szCs w:val="24"/>
        </w:rPr>
        <w:t>ma</w:t>
      </w:r>
      <w:r w:rsidRPr="00FA6AA1">
        <w:rPr>
          <w:rFonts w:ascii="Times New Roman" w:hAnsi="Times New Roman" w:cs="Times New Roman"/>
          <w:sz w:val="24"/>
          <w:szCs w:val="24"/>
        </w:rPr>
        <w:t xml:space="preserve">ternal </w:t>
      </w:r>
      <w:r w:rsidR="00256293">
        <w:rPr>
          <w:rFonts w:ascii="Times New Roman" w:hAnsi="Times New Roman" w:cs="Times New Roman"/>
          <w:sz w:val="24"/>
          <w:szCs w:val="24"/>
        </w:rPr>
        <w:t>a</w:t>
      </w:r>
      <w:r w:rsidRPr="00FA6AA1">
        <w:rPr>
          <w:rFonts w:ascii="Times New Roman" w:hAnsi="Times New Roman" w:cs="Times New Roman"/>
          <w:sz w:val="24"/>
          <w:szCs w:val="24"/>
        </w:rPr>
        <w:t xml:space="preserve">ge at </w:t>
      </w:r>
      <w:r w:rsidR="00256293">
        <w:rPr>
          <w:rFonts w:ascii="Times New Roman" w:hAnsi="Times New Roman" w:cs="Times New Roman"/>
          <w:sz w:val="24"/>
          <w:szCs w:val="24"/>
        </w:rPr>
        <w:t>b</w:t>
      </w:r>
      <w:r w:rsidRPr="00FA6AA1">
        <w:rPr>
          <w:rFonts w:ascii="Times New Roman" w:hAnsi="Times New Roman" w:cs="Times New Roman"/>
          <w:sz w:val="24"/>
          <w:szCs w:val="24"/>
        </w:rPr>
        <w:t xml:space="preserve">irth, </w:t>
      </w:r>
      <w:r w:rsidR="00256293">
        <w:rPr>
          <w:rFonts w:ascii="Times New Roman" w:hAnsi="Times New Roman" w:cs="Times New Roman"/>
          <w:sz w:val="24"/>
          <w:szCs w:val="24"/>
        </w:rPr>
        <w:t xml:space="preserve">and the constructed </w:t>
      </w:r>
      <w:r w:rsidRPr="00FA6AA1">
        <w:rPr>
          <w:rFonts w:ascii="Times New Roman" w:hAnsi="Times New Roman" w:cs="Times New Roman"/>
          <w:sz w:val="24"/>
          <w:szCs w:val="24"/>
        </w:rPr>
        <w:t>NEVI</w:t>
      </w:r>
      <w:r w:rsidR="00256293">
        <w:rPr>
          <w:rFonts w:ascii="Times New Roman" w:hAnsi="Times New Roman" w:cs="Times New Roman"/>
          <w:sz w:val="24"/>
          <w:szCs w:val="24"/>
        </w:rPr>
        <w:t xml:space="preserve">. We reported odds ratios and 95% confidence intervals for these effects. To report </w:t>
      </w:r>
      <w:r w:rsidR="003F45B9">
        <w:rPr>
          <w:rFonts w:ascii="Times New Roman" w:hAnsi="Times New Roman" w:cs="Times New Roman"/>
          <w:sz w:val="24"/>
          <w:szCs w:val="24"/>
        </w:rPr>
        <w:t>any effect modification between air pollution and COVID-19 infection</w:t>
      </w:r>
      <w:r w:rsidR="00256293">
        <w:rPr>
          <w:rFonts w:ascii="Times New Roman" w:hAnsi="Times New Roman" w:cs="Times New Roman"/>
          <w:sz w:val="24"/>
          <w:szCs w:val="24"/>
        </w:rPr>
        <w:t xml:space="preserve">, we </w:t>
      </w:r>
      <w:r w:rsidR="003F45B9">
        <w:rPr>
          <w:rFonts w:ascii="Times New Roman" w:hAnsi="Times New Roman" w:cs="Times New Roman"/>
          <w:sz w:val="24"/>
          <w:szCs w:val="24"/>
        </w:rPr>
        <w:t xml:space="preserve">used linear combination to report the effect of COVID-19 infection in the second, third, and fourth quartile of air pollution exposure, compared to the effect of </w:t>
      </w:r>
      <w:r w:rsidR="003F45B9">
        <w:rPr>
          <w:rFonts w:ascii="Times New Roman" w:hAnsi="Times New Roman" w:cs="Times New Roman"/>
          <w:sz w:val="24"/>
          <w:szCs w:val="24"/>
        </w:rPr>
        <w:t>COVID-19 infection</w:t>
      </w:r>
      <w:r w:rsidR="003F45B9">
        <w:rPr>
          <w:rFonts w:ascii="Times New Roman" w:hAnsi="Times New Roman" w:cs="Times New Roman"/>
          <w:sz w:val="24"/>
          <w:szCs w:val="24"/>
        </w:rPr>
        <w:t xml:space="preserve"> alone.</w:t>
      </w:r>
    </w:p>
    <w:p w14:paraId="4A4280CA" w14:textId="71A56C4F" w:rsidR="00C55044" w:rsidRDefault="00CC4E2A" w:rsidP="002558A4">
      <w:pPr>
        <w:rPr>
          <w:rFonts w:ascii="Times New Roman" w:hAnsi="Times New Roman" w:cs="Times New Roman"/>
          <w:i/>
          <w:iCs/>
          <w:sz w:val="24"/>
          <w:szCs w:val="24"/>
          <w:u w:val="single"/>
        </w:rPr>
      </w:pPr>
      <w:commentRangeStart w:id="1"/>
      <w:r>
        <w:rPr>
          <w:rFonts w:ascii="Times New Roman" w:hAnsi="Times New Roman" w:cs="Times New Roman"/>
          <w:i/>
          <w:iCs/>
          <w:sz w:val="24"/>
          <w:szCs w:val="24"/>
          <w:u w:val="single"/>
        </w:rPr>
        <w:t>Ethics/ Role of the Funding Source/ Data Availability</w:t>
      </w:r>
      <w:commentRangeEnd w:id="1"/>
      <w:r w:rsidR="00C55044">
        <w:rPr>
          <w:rStyle w:val="CommentReference"/>
        </w:rPr>
        <w:commentReference w:id="1"/>
      </w:r>
    </w:p>
    <w:p w14:paraId="10C26EAC" w14:textId="77777777" w:rsidR="00C55044" w:rsidRDefault="00C55044" w:rsidP="002558A4">
      <w:pPr>
        <w:rPr>
          <w:rFonts w:ascii="Times New Roman" w:hAnsi="Times New Roman" w:cs="Times New Roman"/>
          <w:i/>
          <w:iCs/>
          <w:sz w:val="24"/>
          <w:szCs w:val="24"/>
          <w:u w:val="single"/>
        </w:rPr>
      </w:pPr>
    </w:p>
    <w:p w14:paraId="76DFE0EE" w14:textId="77777777" w:rsidR="00C55044" w:rsidRPr="00C55044" w:rsidRDefault="00C55044" w:rsidP="002558A4">
      <w:pPr>
        <w:rPr>
          <w:rFonts w:ascii="Times New Roman" w:hAnsi="Times New Roman" w:cs="Times New Roman"/>
          <w:i/>
          <w:iCs/>
          <w:sz w:val="24"/>
          <w:szCs w:val="24"/>
          <w:u w:val="single"/>
        </w:rPr>
      </w:pPr>
    </w:p>
    <w:p w14:paraId="285FA3A2" w14:textId="1D05D83A" w:rsidR="00C55044" w:rsidRPr="00C55044" w:rsidRDefault="00C55044" w:rsidP="00C55044">
      <w:pPr>
        <w:jc w:val="center"/>
        <w:rPr>
          <w:rFonts w:ascii="Times New Roman" w:hAnsi="Times New Roman" w:cs="Times New Roman"/>
          <w:b/>
          <w:bCs/>
          <w:sz w:val="28"/>
          <w:szCs w:val="28"/>
        </w:rPr>
      </w:pPr>
      <w:r w:rsidRPr="00C55044">
        <w:rPr>
          <w:rFonts w:ascii="Times New Roman" w:hAnsi="Times New Roman" w:cs="Times New Roman"/>
          <w:b/>
          <w:bCs/>
          <w:sz w:val="28"/>
          <w:szCs w:val="28"/>
        </w:rPr>
        <w:lastRenderedPageBreak/>
        <w:t>TABLES AND FIGURES</w:t>
      </w:r>
    </w:p>
    <w:p w14:paraId="2C14E906" w14:textId="588FB571" w:rsidR="00C55044" w:rsidRDefault="00C55044" w:rsidP="002558A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C3095E1" wp14:editId="35782D7F">
            <wp:extent cx="5943600" cy="3787140"/>
            <wp:effectExtent l="0" t="0" r="0" b="0"/>
            <wp:docPr id="439204235"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04235"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14:paraId="173A2859" w14:textId="77777777" w:rsidR="00C55044" w:rsidRDefault="00C55044" w:rsidP="002558A4">
      <w:pPr>
        <w:rPr>
          <w:rFonts w:ascii="Times New Roman" w:hAnsi="Times New Roman" w:cs="Times New Roman"/>
          <w:sz w:val="24"/>
          <w:szCs w:val="24"/>
        </w:rPr>
      </w:pPr>
    </w:p>
    <w:p w14:paraId="7045CF63" w14:textId="5A46BB4B" w:rsidR="00C55044" w:rsidRDefault="00127AFC" w:rsidP="002558A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68C0BC7" wp14:editId="406DCD25">
            <wp:extent cx="6295292" cy="3558589"/>
            <wp:effectExtent l="0" t="0" r="4445" b="0"/>
            <wp:docPr id="143360385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03855"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10975" cy="3567454"/>
                    </a:xfrm>
                    <a:prstGeom prst="rect">
                      <a:avLst/>
                    </a:prstGeom>
                  </pic:spPr>
                </pic:pic>
              </a:graphicData>
            </a:graphic>
          </wp:inline>
        </w:drawing>
      </w:r>
    </w:p>
    <w:p w14:paraId="3CFF3F6D" w14:textId="77777777" w:rsidR="00887060" w:rsidRDefault="00887060" w:rsidP="00887060">
      <w:pPr>
        <w:pStyle w:val="TableCaption"/>
      </w:pPr>
      <w:commentRangeStart w:id="2"/>
      <w:r>
        <w:rPr>
          <w:b/>
          <w:bCs/>
        </w:rPr>
        <w:lastRenderedPageBreak/>
        <w:t>Table 1. Patient Characteristics</w:t>
      </w:r>
      <w:commentRangeEnd w:id="2"/>
      <w:r w:rsidR="00265DC2">
        <w:rPr>
          <w:rStyle w:val="CommentReference"/>
          <w:i w:val="0"/>
        </w:rPr>
        <w:commentReference w:id="2"/>
      </w:r>
    </w:p>
    <w:tbl>
      <w:tblPr>
        <w:tblStyle w:val="Table"/>
        <w:tblW w:w="0" w:type="auto"/>
        <w:tblLook w:val="0020" w:firstRow="1" w:lastRow="0" w:firstColumn="0" w:lastColumn="0" w:noHBand="0" w:noVBand="0"/>
        <w:tblCaption w:val="Table 1. Patient Characteristics"/>
      </w:tblPr>
      <w:tblGrid>
        <w:gridCol w:w="3768"/>
        <w:gridCol w:w="1542"/>
      </w:tblGrid>
      <w:tr w:rsidR="00887060" w14:paraId="75582318" w14:textId="77777777" w:rsidTr="00887060">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2" w:space="0" w:color="auto"/>
            </w:tcBorders>
          </w:tcPr>
          <w:p w14:paraId="2730FDAF" w14:textId="77777777" w:rsidR="00887060" w:rsidRPr="00887060" w:rsidRDefault="00887060" w:rsidP="007422CB">
            <w:pPr>
              <w:pStyle w:val="Compact"/>
              <w:rPr>
                <w:sz w:val="22"/>
                <w:szCs w:val="22"/>
              </w:rPr>
            </w:pPr>
            <w:r w:rsidRPr="00887060">
              <w:rPr>
                <w:b/>
                <w:bCs/>
                <w:sz w:val="22"/>
                <w:szCs w:val="22"/>
              </w:rPr>
              <w:t>Variable</w:t>
            </w:r>
          </w:p>
        </w:tc>
        <w:tc>
          <w:tcPr>
            <w:tcW w:w="0" w:type="auto"/>
            <w:tcBorders>
              <w:top w:val="single" w:sz="4" w:space="0" w:color="auto"/>
              <w:bottom w:val="single" w:sz="2" w:space="0" w:color="auto"/>
              <w:right w:val="single" w:sz="4" w:space="0" w:color="auto"/>
            </w:tcBorders>
          </w:tcPr>
          <w:p w14:paraId="1D80E82F" w14:textId="239DE2FF" w:rsidR="00887060" w:rsidRPr="002A4DC2" w:rsidRDefault="00887060" w:rsidP="007422CB">
            <w:pPr>
              <w:pStyle w:val="Compact"/>
              <w:jc w:val="center"/>
              <w:rPr>
                <w:sz w:val="22"/>
                <w:szCs w:val="22"/>
                <w:vertAlign w:val="superscript"/>
              </w:rPr>
            </w:pPr>
            <w:r w:rsidRPr="00887060">
              <w:rPr>
                <w:b/>
                <w:bCs/>
                <w:sz w:val="22"/>
                <w:szCs w:val="22"/>
              </w:rPr>
              <w:t>N = 6,703</w:t>
            </w:r>
            <w:r w:rsidR="002A4DC2" w:rsidRPr="002A4DC2">
              <w:rPr>
                <w:sz w:val="22"/>
                <w:szCs w:val="22"/>
                <w:vertAlign w:val="superscript"/>
              </w:rPr>
              <w:t>1</w:t>
            </w:r>
          </w:p>
        </w:tc>
      </w:tr>
      <w:tr w:rsidR="00887060" w14:paraId="50D0C17A" w14:textId="77777777" w:rsidTr="00887060">
        <w:tc>
          <w:tcPr>
            <w:tcW w:w="0" w:type="auto"/>
            <w:tcBorders>
              <w:top w:val="single" w:sz="2" w:space="0" w:color="auto"/>
              <w:left w:val="single" w:sz="4" w:space="0" w:color="auto"/>
              <w:bottom w:val="single" w:sz="4" w:space="0" w:color="auto"/>
            </w:tcBorders>
          </w:tcPr>
          <w:p w14:paraId="51474F9F" w14:textId="77777777" w:rsidR="00887060" w:rsidRPr="00887060" w:rsidRDefault="00887060" w:rsidP="007422CB">
            <w:pPr>
              <w:pStyle w:val="Compact"/>
              <w:rPr>
                <w:sz w:val="20"/>
                <w:szCs w:val="20"/>
              </w:rPr>
            </w:pPr>
            <w:r w:rsidRPr="00887060">
              <w:rPr>
                <w:sz w:val="20"/>
                <w:szCs w:val="20"/>
              </w:rPr>
              <w:t>Age</w:t>
            </w:r>
          </w:p>
        </w:tc>
        <w:tc>
          <w:tcPr>
            <w:tcW w:w="0" w:type="auto"/>
            <w:tcBorders>
              <w:top w:val="single" w:sz="2" w:space="0" w:color="auto"/>
              <w:bottom w:val="single" w:sz="4" w:space="0" w:color="auto"/>
              <w:right w:val="single" w:sz="4" w:space="0" w:color="auto"/>
            </w:tcBorders>
          </w:tcPr>
          <w:p w14:paraId="37C66300" w14:textId="77777777" w:rsidR="00887060" w:rsidRPr="00887060" w:rsidRDefault="00887060" w:rsidP="007422CB">
            <w:pPr>
              <w:pStyle w:val="Compact"/>
              <w:jc w:val="center"/>
              <w:rPr>
                <w:sz w:val="20"/>
                <w:szCs w:val="20"/>
              </w:rPr>
            </w:pPr>
            <w:r w:rsidRPr="00887060">
              <w:rPr>
                <w:sz w:val="20"/>
                <w:szCs w:val="20"/>
              </w:rPr>
              <w:t>32 (28, 36)</w:t>
            </w:r>
          </w:p>
        </w:tc>
      </w:tr>
      <w:tr w:rsidR="00887060" w14:paraId="1E820E3C" w14:textId="77777777" w:rsidTr="00887060">
        <w:tc>
          <w:tcPr>
            <w:tcW w:w="0" w:type="auto"/>
            <w:tcBorders>
              <w:top w:val="single" w:sz="4" w:space="0" w:color="auto"/>
              <w:left w:val="single" w:sz="4" w:space="0" w:color="auto"/>
            </w:tcBorders>
          </w:tcPr>
          <w:p w14:paraId="739B5449" w14:textId="77777777" w:rsidR="00887060" w:rsidRPr="00887060" w:rsidRDefault="00887060" w:rsidP="007422CB">
            <w:pPr>
              <w:pStyle w:val="Compact"/>
              <w:rPr>
                <w:sz w:val="20"/>
                <w:szCs w:val="20"/>
              </w:rPr>
            </w:pPr>
            <w:r w:rsidRPr="00887060">
              <w:rPr>
                <w:sz w:val="20"/>
                <w:szCs w:val="20"/>
              </w:rPr>
              <w:t>Ethnicity</w:t>
            </w:r>
          </w:p>
        </w:tc>
        <w:tc>
          <w:tcPr>
            <w:tcW w:w="0" w:type="auto"/>
            <w:tcBorders>
              <w:top w:val="single" w:sz="4" w:space="0" w:color="auto"/>
              <w:right w:val="single" w:sz="4" w:space="0" w:color="auto"/>
            </w:tcBorders>
          </w:tcPr>
          <w:p w14:paraId="28FD7519" w14:textId="77777777" w:rsidR="00887060" w:rsidRPr="00887060" w:rsidRDefault="00887060" w:rsidP="007422CB">
            <w:pPr>
              <w:pStyle w:val="Compact"/>
              <w:rPr>
                <w:sz w:val="20"/>
                <w:szCs w:val="20"/>
              </w:rPr>
            </w:pPr>
          </w:p>
        </w:tc>
      </w:tr>
      <w:tr w:rsidR="00887060" w14:paraId="7DFB3DA6" w14:textId="77777777" w:rsidTr="00887060">
        <w:tc>
          <w:tcPr>
            <w:tcW w:w="0" w:type="auto"/>
            <w:tcBorders>
              <w:left w:val="single" w:sz="4" w:space="0" w:color="auto"/>
            </w:tcBorders>
          </w:tcPr>
          <w:p w14:paraId="7E68D894" w14:textId="3B680D52" w:rsidR="00887060" w:rsidRPr="00887060" w:rsidRDefault="00887060" w:rsidP="007422CB">
            <w:pPr>
              <w:pStyle w:val="Compact"/>
              <w:rPr>
                <w:sz w:val="20"/>
                <w:szCs w:val="20"/>
              </w:rPr>
            </w:pPr>
            <w:r w:rsidRPr="00887060">
              <w:rPr>
                <w:sz w:val="20"/>
                <w:szCs w:val="20"/>
              </w:rPr>
              <w:t xml:space="preserve">   </w:t>
            </w:r>
            <w:r w:rsidRPr="00887060">
              <w:rPr>
                <w:sz w:val="20"/>
                <w:szCs w:val="20"/>
              </w:rPr>
              <w:t>Latina/Hispanic</w:t>
            </w:r>
          </w:p>
        </w:tc>
        <w:tc>
          <w:tcPr>
            <w:tcW w:w="0" w:type="auto"/>
            <w:tcBorders>
              <w:right w:val="single" w:sz="4" w:space="0" w:color="auto"/>
            </w:tcBorders>
          </w:tcPr>
          <w:p w14:paraId="17499C3B" w14:textId="77777777" w:rsidR="00887060" w:rsidRPr="00887060" w:rsidRDefault="00887060" w:rsidP="007422CB">
            <w:pPr>
              <w:pStyle w:val="Compact"/>
              <w:jc w:val="center"/>
              <w:rPr>
                <w:sz w:val="20"/>
                <w:szCs w:val="20"/>
              </w:rPr>
            </w:pPr>
            <w:r w:rsidRPr="00887060">
              <w:rPr>
                <w:sz w:val="20"/>
                <w:szCs w:val="20"/>
              </w:rPr>
              <w:t>1,838 (27%)</w:t>
            </w:r>
          </w:p>
        </w:tc>
      </w:tr>
      <w:tr w:rsidR="00887060" w14:paraId="65DA8866" w14:textId="77777777" w:rsidTr="00887060">
        <w:tc>
          <w:tcPr>
            <w:tcW w:w="0" w:type="auto"/>
            <w:tcBorders>
              <w:left w:val="single" w:sz="4" w:space="0" w:color="auto"/>
              <w:bottom w:val="single" w:sz="4" w:space="0" w:color="auto"/>
            </w:tcBorders>
          </w:tcPr>
          <w:p w14:paraId="2A790EAE" w14:textId="76BA60CF" w:rsidR="00887060" w:rsidRPr="00887060" w:rsidRDefault="00887060" w:rsidP="007422CB">
            <w:pPr>
              <w:pStyle w:val="Compact"/>
              <w:rPr>
                <w:sz w:val="20"/>
                <w:szCs w:val="20"/>
              </w:rPr>
            </w:pPr>
            <w:r w:rsidRPr="00887060">
              <w:rPr>
                <w:sz w:val="20"/>
                <w:szCs w:val="20"/>
              </w:rPr>
              <w:t xml:space="preserve">   </w:t>
            </w:r>
            <w:r w:rsidRPr="00887060">
              <w:rPr>
                <w:sz w:val="20"/>
                <w:szCs w:val="20"/>
              </w:rPr>
              <w:t>Non-Latina/Non-Hispanic</w:t>
            </w:r>
          </w:p>
        </w:tc>
        <w:tc>
          <w:tcPr>
            <w:tcW w:w="0" w:type="auto"/>
            <w:tcBorders>
              <w:bottom w:val="single" w:sz="4" w:space="0" w:color="auto"/>
              <w:right w:val="single" w:sz="4" w:space="0" w:color="auto"/>
            </w:tcBorders>
          </w:tcPr>
          <w:p w14:paraId="0134E8FB" w14:textId="77777777" w:rsidR="00887060" w:rsidRPr="00887060" w:rsidRDefault="00887060" w:rsidP="007422CB">
            <w:pPr>
              <w:pStyle w:val="Compact"/>
              <w:jc w:val="center"/>
              <w:rPr>
                <w:sz w:val="20"/>
                <w:szCs w:val="20"/>
              </w:rPr>
            </w:pPr>
            <w:r w:rsidRPr="00887060">
              <w:rPr>
                <w:sz w:val="20"/>
                <w:szCs w:val="20"/>
              </w:rPr>
              <w:t>4,865 (73%)</w:t>
            </w:r>
          </w:p>
        </w:tc>
      </w:tr>
      <w:tr w:rsidR="00887060" w14:paraId="10090F1E" w14:textId="77777777" w:rsidTr="00887060">
        <w:tc>
          <w:tcPr>
            <w:tcW w:w="0" w:type="auto"/>
            <w:tcBorders>
              <w:top w:val="single" w:sz="4" w:space="0" w:color="auto"/>
              <w:left w:val="single" w:sz="4" w:space="0" w:color="auto"/>
            </w:tcBorders>
          </w:tcPr>
          <w:p w14:paraId="0BAF9923" w14:textId="77777777" w:rsidR="00887060" w:rsidRPr="00887060" w:rsidRDefault="00887060" w:rsidP="007422CB">
            <w:pPr>
              <w:pStyle w:val="Compact"/>
              <w:rPr>
                <w:sz w:val="20"/>
                <w:szCs w:val="20"/>
              </w:rPr>
            </w:pPr>
            <w:r w:rsidRPr="00887060">
              <w:rPr>
                <w:sz w:val="20"/>
                <w:szCs w:val="20"/>
              </w:rPr>
              <w:t>Race</w:t>
            </w:r>
          </w:p>
        </w:tc>
        <w:tc>
          <w:tcPr>
            <w:tcW w:w="0" w:type="auto"/>
            <w:tcBorders>
              <w:top w:val="single" w:sz="4" w:space="0" w:color="auto"/>
              <w:right w:val="single" w:sz="4" w:space="0" w:color="auto"/>
            </w:tcBorders>
          </w:tcPr>
          <w:p w14:paraId="6A9277C1" w14:textId="77777777" w:rsidR="00887060" w:rsidRPr="00887060" w:rsidRDefault="00887060" w:rsidP="007422CB">
            <w:pPr>
              <w:pStyle w:val="Compact"/>
              <w:rPr>
                <w:sz w:val="20"/>
                <w:szCs w:val="20"/>
              </w:rPr>
            </w:pPr>
          </w:p>
        </w:tc>
      </w:tr>
      <w:tr w:rsidR="00887060" w14:paraId="578C16B0" w14:textId="77777777" w:rsidTr="00887060">
        <w:tc>
          <w:tcPr>
            <w:tcW w:w="0" w:type="auto"/>
            <w:tcBorders>
              <w:left w:val="single" w:sz="4" w:space="0" w:color="auto"/>
            </w:tcBorders>
          </w:tcPr>
          <w:p w14:paraId="4695A9DF" w14:textId="0BD0CF19" w:rsidR="00887060" w:rsidRPr="00887060" w:rsidRDefault="00887060" w:rsidP="007422CB">
            <w:pPr>
              <w:pStyle w:val="Compact"/>
              <w:rPr>
                <w:sz w:val="20"/>
                <w:szCs w:val="20"/>
              </w:rPr>
            </w:pPr>
            <w:r w:rsidRPr="00887060">
              <w:rPr>
                <w:sz w:val="20"/>
                <w:szCs w:val="20"/>
              </w:rPr>
              <w:t xml:space="preserve">   Unknown</w:t>
            </w:r>
          </w:p>
        </w:tc>
        <w:tc>
          <w:tcPr>
            <w:tcW w:w="0" w:type="auto"/>
            <w:tcBorders>
              <w:right w:val="single" w:sz="4" w:space="0" w:color="auto"/>
            </w:tcBorders>
          </w:tcPr>
          <w:p w14:paraId="76A29DC9" w14:textId="77777777" w:rsidR="00887060" w:rsidRPr="00887060" w:rsidRDefault="00887060" w:rsidP="007422CB">
            <w:pPr>
              <w:pStyle w:val="Compact"/>
              <w:jc w:val="center"/>
              <w:rPr>
                <w:sz w:val="20"/>
                <w:szCs w:val="20"/>
              </w:rPr>
            </w:pPr>
            <w:r w:rsidRPr="00887060">
              <w:rPr>
                <w:sz w:val="20"/>
                <w:szCs w:val="20"/>
              </w:rPr>
              <w:t>195 (2.9%)</w:t>
            </w:r>
          </w:p>
        </w:tc>
      </w:tr>
      <w:tr w:rsidR="00887060" w14:paraId="48D6A728" w14:textId="77777777" w:rsidTr="00887060">
        <w:tc>
          <w:tcPr>
            <w:tcW w:w="0" w:type="auto"/>
            <w:tcBorders>
              <w:left w:val="single" w:sz="4" w:space="0" w:color="auto"/>
            </w:tcBorders>
          </w:tcPr>
          <w:p w14:paraId="344F42B8" w14:textId="26E9DBF8" w:rsidR="00887060" w:rsidRPr="00887060" w:rsidRDefault="00887060" w:rsidP="007422CB">
            <w:pPr>
              <w:pStyle w:val="Compact"/>
              <w:rPr>
                <w:sz w:val="20"/>
                <w:szCs w:val="20"/>
              </w:rPr>
            </w:pPr>
            <w:r w:rsidRPr="00887060">
              <w:rPr>
                <w:sz w:val="20"/>
                <w:szCs w:val="20"/>
              </w:rPr>
              <w:t xml:space="preserve">   </w:t>
            </w:r>
            <w:r w:rsidRPr="00887060">
              <w:rPr>
                <w:sz w:val="20"/>
                <w:szCs w:val="20"/>
              </w:rPr>
              <w:t>American</w:t>
            </w:r>
            <w:r w:rsidRPr="00887060">
              <w:rPr>
                <w:sz w:val="20"/>
                <w:szCs w:val="20"/>
              </w:rPr>
              <w:t xml:space="preserve"> </w:t>
            </w:r>
            <w:r w:rsidRPr="00887060">
              <w:rPr>
                <w:sz w:val="20"/>
                <w:szCs w:val="20"/>
              </w:rPr>
              <w:t>Indian</w:t>
            </w:r>
            <w:r w:rsidRPr="00887060">
              <w:rPr>
                <w:sz w:val="20"/>
                <w:szCs w:val="20"/>
              </w:rPr>
              <w:t xml:space="preserve"> or </w:t>
            </w:r>
            <w:r w:rsidRPr="00887060">
              <w:rPr>
                <w:sz w:val="20"/>
                <w:szCs w:val="20"/>
              </w:rPr>
              <w:t>Alaska</w:t>
            </w:r>
            <w:r w:rsidRPr="00887060">
              <w:rPr>
                <w:sz w:val="20"/>
                <w:szCs w:val="20"/>
              </w:rPr>
              <w:t xml:space="preserve"> </w:t>
            </w:r>
            <w:r w:rsidRPr="00887060">
              <w:rPr>
                <w:sz w:val="20"/>
                <w:szCs w:val="20"/>
              </w:rPr>
              <w:t>Native</w:t>
            </w:r>
          </w:p>
        </w:tc>
        <w:tc>
          <w:tcPr>
            <w:tcW w:w="0" w:type="auto"/>
            <w:tcBorders>
              <w:right w:val="single" w:sz="4" w:space="0" w:color="auto"/>
            </w:tcBorders>
          </w:tcPr>
          <w:p w14:paraId="5FBF4C15" w14:textId="77777777" w:rsidR="00887060" w:rsidRPr="00887060" w:rsidRDefault="00887060" w:rsidP="007422CB">
            <w:pPr>
              <w:pStyle w:val="Compact"/>
              <w:jc w:val="center"/>
              <w:rPr>
                <w:sz w:val="20"/>
                <w:szCs w:val="20"/>
              </w:rPr>
            </w:pPr>
            <w:r w:rsidRPr="00887060">
              <w:rPr>
                <w:sz w:val="20"/>
                <w:szCs w:val="20"/>
              </w:rPr>
              <w:t>21 (0.3%)</w:t>
            </w:r>
          </w:p>
        </w:tc>
      </w:tr>
      <w:tr w:rsidR="00887060" w14:paraId="323CE4A7" w14:textId="77777777" w:rsidTr="00887060">
        <w:tc>
          <w:tcPr>
            <w:tcW w:w="0" w:type="auto"/>
            <w:tcBorders>
              <w:left w:val="single" w:sz="4" w:space="0" w:color="auto"/>
            </w:tcBorders>
          </w:tcPr>
          <w:p w14:paraId="6DD78817" w14:textId="480B329B" w:rsidR="00887060" w:rsidRPr="00887060" w:rsidRDefault="00887060" w:rsidP="007422CB">
            <w:pPr>
              <w:pStyle w:val="Compact"/>
              <w:rPr>
                <w:sz w:val="20"/>
                <w:szCs w:val="20"/>
              </w:rPr>
            </w:pPr>
            <w:r w:rsidRPr="00887060">
              <w:rPr>
                <w:sz w:val="20"/>
                <w:szCs w:val="20"/>
              </w:rPr>
              <w:t xml:space="preserve">   </w:t>
            </w:r>
            <w:r w:rsidRPr="00887060">
              <w:rPr>
                <w:sz w:val="20"/>
                <w:szCs w:val="20"/>
              </w:rPr>
              <w:t>Asian</w:t>
            </w:r>
          </w:p>
        </w:tc>
        <w:tc>
          <w:tcPr>
            <w:tcW w:w="0" w:type="auto"/>
            <w:tcBorders>
              <w:right w:val="single" w:sz="4" w:space="0" w:color="auto"/>
            </w:tcBorders>
          </w:tcPr>
          <w:p w14:paraId="008CBD0A" w14:textId="77777777" w:rsidR="00887060" w:rsidRPr="00887060" w:rsidRDefault="00887060" w:rsidP="007422CB">
            <w:pPr>
              <w:pStyle w:val="Compact"/>
              <w:jc w:val="center"/>
              <w:rPr>
                <w:sz w:val="20"/>
                <w:szCs w:val="20"/>
              </w:rPr>
            </w:pPr>
            <w:r w:rsidRPr="00887060">
              <w:rPr>
                <w:sz w:val="20"/>
                <w:szCs w:val="20"/>
              </w:rPr>
              <w:t>659 (9.8%)</w:t>
            </w:r>
          </w:p>
        </w:tc>
      </w:tr>
      <w:tr w:rsidR="00887060" w14:paraId="121C5B74" w14:textId="77777777" w:rsidTr="00887060">
        <w:tc>
          <w:tcPr>
            <w:tcW w:w="0" w:type="auto"/>
            <w:tcBorders>
              <w:left w:val="single" w:sz="4" w:space="0" w:color="auto"/>
            </w:tcBorders>
          </w:tcPr>
          <w:p w14:paraId="651CA11A" w14:textId="4DADAC9E" w:rsidR="00887060" w:rsidRPr="00887060" w:rsidRDefault="00887060" w:rsidP="007422CB">
            <w:pPr>
              <w:pStyle w:val="Compact"/>
              <w:rPr>
                <w:sz w:val="20"/>
                <w:szCs w:val="20"/>
              </w:rPr>
            </w:pPr>
            <w:r w:rsidRPr="00887060">
              <w:rPr>
                <w:sz w:val="20"/>
                <w:szCs w:val="20"/>
              </w:rPr>
              <w:t xml:space="preserve">   </w:t>
            </w:r>
            <w:r w:rsidRPr="00887060">
              <w:rPr>
                <w:sz w:val="20"/>
                <w:szCs w:val="20"/>
              </w:rPr>
              <w:t>Black</w:t>
            </w:r>
          </w:p>
        </w:tc>
        <w:tc>
          <w:tcPr>
            <w:tcW w:w="0" w:type="auto"/>
            <w:tcBorders>
              <w:right w:val="single" w:sz="4" w:space="0" w:color="auto"/>
            </w:tcBorders>
          </w:tcPr>
          <w:p w14:paraId="165D3DE6" w14:textId="77777777" w:rsidR="00887060" w:rsidRPr="00887060" w:rsidRDefault="00887060" w:rsidP="007422CB">
            <w:pPr>
              <w:pStyle w:val="Compact"/>
              <w:jc w:val="center"/>
              <w:rPr>
                <w:sz w:val="20"/>
                <w:szCs w:val="20"/>
              </w:rPr>
            </w:pPr>
            <w:r w:rsidRPr="00887060">
              <w:rPr>
                <w:sz w:val="20"/>
                <w:szCs w:val="20"/>
              </w:rPr>
              <w:t>780 (12%)</w:t>
            </w:r>
          </w:p>
        </w:tc>
      </w:tr>
      <w:tr w:rsidR="00887060" w14:paraId="3B7C23D5" w14:textId="77777777" w:rsidTr="00887060">
        <w:tc>
          <w:tcPr>
            <w:tcW w:w="0" w:type="auto"/>
            <w:tcBorders>
              <w:left w:val="single" w:sz="4" w:space="0" w:color="auto"/>
            </w:tcBorders>
          </w:tcPr>
          <w:p w14:paraId="64ED1BC6" w14:textId="6FE47BA7" w:rsidR="00887060" w:rsidRPr="00887060" w:rsidRDefault="00887060" w:rsidP="007422CB">
            <w:pPr>
              <w:pStyle w:val="Compact"/>
              <w:rPr>
                <w:sz w:val="20"/>
                <w:szCs w:val="20"/>
              </w:rPr>
            </w:pPr>
            <w:r w:rsidRPr="00887060">
              <w:rPr>
                <w:sz w:val="20"/>
                <w:szCs w:val="20"/>
              </w:rPr>
              <w:t xml:space="preserve">   </w:t>
            </w:r>
            <w:r w:rsidRPr="00887060">
              <w:rPr>
                <w:sz w:val="20"/>
                <w:szCs w:val="20"/>
              </w:rPr>
              <w:t>Declined</w:t>
            </w:r>
          </w:p>
        </w:tc>
        <w:tc>
          <w:tcPr>
            <w:tcW w:w="0" w:type="auto"/>
            <w:tcBorders>
              <w:right w:val="single" w:sz="4" w:space="0" w:color="auto"/>
            </w:tcBorders>
          </w:tcPr>
          <w:p w14:paraId="774F6254" w14:textId="77777777" w:rsidR="00887060" w:rsidRPr="00887060" w:rsidRDefault="00887060" w:rsidP="007422CB">
            <w:pPr>
              <w:pStyle w:val="Compact"/>
              <w:jc w:val="center"/>
              <w:rPr>
                <w:sz w:val="20"/>
                <w:szCs w:val="20"/>
              </w:rPr>
            </w:pPr>
            <w:r w:rsidRPr="00887060">
              <w:rPr>
                <w:sz w:val="20"/>
                <w:szCs w:val="20"/>
              </w:rPr>
              <w:t>265 (4.0%)</w:t>
            </w:r>
          </w:p>
        </w:tc>
      </w:tr>
      <w:tr w:rsidR="00887060" w14:paraId="04527636" w14:textId="77777777" w:rsidTr="00887060">
        <w:tc>
          <w:tcPr>
            <w:tcW w:w="0" w:type="auto"/>
            <w:tcBorders>
              <w:left w:val="single" w:sz="4" w:space="0" w:color="auto"/>
            </w:tcBorders>
          </w:tcPr>
          <w:p w14:paraId="24776AD6" w14:textId="18BF3B4D" w:rsidR="00887060" w:rsidRPr="00887060" w:rsidRDefault="00887060" w:rsidP="007422CB">
            <w:pPr>
              <w:pStyle w:val="Compact"/>
              <w:rPr>
                <w:sz w:val="20"/>
                <w:szCs w:val="20"/>
              </w:rPr>
            </w:pPr>
            <w:r w:rsidRPr="00887060">
              <w:rPr>
                <w:sz w:val="20"/>
                <w:szCs w:val="20"/>
              </w:rPr>
              <w:t xml:space="preserve">   </w:t>
            </w:r>
            <w:r w:rsidRPr="00887060">
              <w:rPr>
                <w:sz w:val="20"/>
                <w:szCs w:val="20"/>
              </w:rPr>
              <w:t>Multiple</w:t>
            </w:r>
            <w:r w:rsidRPr="00887060">
              <w:rPr>
                <w:sz w:val="20"/>
                <w:szCs w:val="20"/>
              </w:rPr>
              <w:t xml:space="preserve"> </w:t>
            </w:r>
            <w:r w:rsidRPr="00887060">
              <w:rPr>
                <w:sz w:val="20"/>
                <w:szCs w:val="20"/>
              </w:rPr>
              <w:t>Race</w:t>
            </w:r>
          </w:p>
        </w:tc>
        <w:tc>
          <w:tcPr>
            <w:tcW w:w="0" w:type="auto"/>
            <w:tcBorders>
              <w:right w:val="single" w:sz="4" w:space="0" w:color="auto"/>
            </w:tcBorders>
          </w:tcPr>
          <w:p w14:paraId="144A6006" w14:textId="77777777" w:rsidR="00887060" w:rsidRPr="00887060" w:rsidRDefault="00887060" w:rsidP="007422CB">
            <w:pPr>
              <w:pStyle w:val="Compact"/>
              <w:jc w:val="center"/>
              <w:rPr>
                <w:sz w:val="20"/>
                <w:szCs w:val="20"/>
              </w:rPr>
            </w:pPr>
            <w:r w:rsidRPr="00887060">
              <w:rPr>
                <w:sz w:val="20"/>
                <w:szCs w:val="20"/>
              </w:rPr>
              <w:t>338 (5.0%)</w:t>
            </w:r>
          </w:p>
        </w:tc>
      </w:tr>
      <w:tr w:rsidR="00887060" w14:paraId="6896728D" w14:textId="77777777" w:rsidTr="00887060">
        <w:tc>
          <w:tcPr>
            <w:tcW w:w="0" w:type="auto"/>
            <w:tcBorders>
              <w:left w:val="single" w:sz="4" w:space="0" w:color="auto"/>
            </w:tcBorders>
          </w:tcPr>
          <w:p w14:paraId="6A8DB9A6" w14:textId="608CD73C" w:rsidR="00887060" w:rsidRPr="00887060" w:rsidRDefault="00887060" w:rsidP="007422CB">
            <w:pPr>
              <w:pStyle w:val="Compact"/>
              <w:rPr>
                <w:sz w:val="20"/>
                <w:szCs w:val="20"/>
              </w:rPr>
            </w:pPr>
            <w:r w:rsidRPr="00887060">
              <w:rPr>
                <w:sz w:val="20"/>
                <w:szCs w:val="20"/>
              </w:rPr>
              <w:t xml:space="preserve">   </w:t>
            </w:r>
            <w:r w:rsidRPr="00887060">
              <w:rPr>
                <w:sz w:val="20"/>
                <w:szCs w:val="20"/>
              </w:rPr>
              <w:t>Native</w:t>
            </w:r>
            <w:r w:rsidRPr="00887060">
              <w:rPr>
                <w:sz w:val="20"/>
                <w:szCs w:val="20"/>
              </w:rPr>
              <w:t xml:space="preserve"> </w:t>
            </w:r>
            <w:r w:rsidRPr="00887060">
              <w:rPr>
                <w:sz w:val="20"/>
                <w:szCs w:val="20"/>
              </w:rPr>
              <w:t>Hawaiian</w:t>
            </w:r>
            <w:r w:rsidR="00022316">
              <w:rPr>
                <w:sz w:val="20"/>
                <w:szCs w:val="20"/>
              </w:rPr>
              <w:t xml:space="preserve"> or Other Pacific Islander</w:t>
            </w:r>
          </w:p>
        </w:tc>
        <w:tc>
          <w:tcPr>
            <w:tcW w:w="0" w:type="auto"/>
            <w:tcBorders>
              <w:right w:val="single" w:sz="4" w:space="0" w:color="auto"/>
            </w:tcBorders>
          </w:tcPr>
          <w:p w14:paraId="5A1812CF" w14:textId="77777777" w:rsidR="00887060" w:rsidRPr="00887060" w:rsidRDefault="00887060" w:rsidP="007422CB">
            <w:pPr>
              <w:pStyle w:val="Compact"/>
              <w:jc w:val="center"/>
              <w:rPr>
                <w:sz w:val="20"/>
                <w:szCs w:val="20"/>
              </w:rPr>
            </w:pPr>
            <w:r w:rsidRPr="00887060">
              <w:rPr>
                <w:sz w:val="20"/>
                <w:szCs w:val="20"/>
              </w:rPr>
              <w:t>73 (1.1%)</w:t>
            </w:r>
          </w:p>
        </w:tc>
      </w:tr>
      <w:tr w:rsidR="00887060" w14:paraId="1146E28D" w14:textId="77777777" w:rsidTr="00887060">
        <w:tc>
          <w:tcPr>
            <w:tcW w:w="0" w:type="auto"/>
            <w:tcBorders>
              <w:left w:val="single" w:sz="4" w:space="0" w:color="auto"/>
            </w:tcBorders>
          </w:tcPr>
          <w:p w14:paraId="6EB585E1" w14:textId="30F0D2FD" w:rsidR="00887060" w:rsidRPr="00887060" w:rsidRDefault="00887060" w:rsidP="007422CB">
            <w:pPr>
              <w:pStyle w:val="Compact"/>
              <w:rPr>
                <w:sz w:val="20"/>
                <w:szCs w:val="20"/>
              </w:rPr>
            </w:pPr>
            <w:r w:rsidRPr="00887060">
              <w:rPr>
                <w:sz w:val="20"/>
                <w:szCs w:val="20"/>
              </w:rPr>
              <w:t xml:space="preserve">   </w:t>
            </w:r>
            <w:r w:rsidRPr="00887060">
              <w:rPr>
                <w:sz w:val="20"/>
                <w:szCs w:val="20"/>
              </w:rPr>
              <w:t>Other</w:t>
            </w:r>
          </w:p>
        </w:tc>
        <w:tc>
          <w:tcPr>
            <w:tcW w:w="0" w:type="auto"/>
            <w:tcBorders>
              <w:right w:val="single" w:sz="4" w:space="0" w:color="auto"/>
            </w:tcBorders>
          </w:tcPr>
          <w:p w14:paraId="44DDEFD7" w14:textId="77777777" w:rsidR="00887060" w:rsidRPr="00887060" w:rsidRDefault="00887060" w:rsidP="007422CB">
            <w:pPr>
              <w:pStyle w:val="Compact"/>
              <w:jc w:val="center"/>
              <w:rPr>
                <w:sz w:val="20"/>
                <w:szCs w:val="20"/>
              </w:rPr>
            </w:pPr>
            <w:r w:rsidRPr="00887060">
              <w:rPr>
                <w:sz w:val="20"/>
                <w:szCs w:val="20"/>
              </w:rPr>
              <w:t>1,270 (19%)</w:t>
            </w:r>
          </w:p>
        </w:tc>
      </w:tr>
      <w:tr w:rsidR="00887060" w14:paraId="3158BDD7" w14:textId="77777777" w:rsidTr="00887060">
        <w:tc>
          <w:tcPr>
            <w:tcW w:w="0" w:type="auto"/>
            <w:tcBorders>
              <w:left w:val="single" w:sz="4" w:space="0" w:color="auto"/>
              <w:bottom w:val="single" w:sz="4" w:space="0" w:color="auto"/>
            </w:tcBorders>
          </w:tcPr>
          <w:p w14:paraId="676DEDB9" w14:textId="5A1A886C" w:rsidR="00887060" w:rsidRPr="00887060" w:rsidRDefault="00887060" w:rsidP="007422CB">
            <w:pPr>
              <w:pStyle w:val="Compact"/>
              <w:rPr>
                <w:sz w:val="20"/>
                <w:szCs w:val="20"/>
              </w:rPr>
            </w:pPr>
            <w:r w:rsidRPr="00887060">
              <w:rPr>
                <w:sz w:val="20"/>
                <w:szCs w:val="20"/>
              </w:rPr>
              <w:t xml:space="preserve">   </w:t>
            </w:r>
            <w:r w:rsidRPr="00887060">
              <w:rPr>
                <w:sz w:val="20"/>
                <w:szCs w:val="20"/>
              </w:rPr>
              <w:t>White</w:t>
            </w:r>
          </w:p>
        </w:tc>
        <w:tc>
          <w:tcPr>
            <w:tcW w:w="0" w:type="auto"/>
            <w:tcBorders>
              <w:bottom w:val="single" w:sz="4" w:space="0" w:color="auto"/>
              <w:right w:val="single" w:sz="4" w:space="0" w:color="auto"/>
            </w:tcBorders>
          </w:tcPr>
          <w:p w14:paraId="7F45BC60" w14:textId="77777777" w:rsidR="00887060" w:rsidRPr="00887060" w:rsidRDefault="00887060" w:rsidP="007422CB">
            <w:pPr>
              <w:pStyle w:val="Compact"/>
              <w:jc w:val="center"/>
              <w:rPr>
                <w:sz w:val="20"/>
                <w:szCs w:val="20"/>
              </w:rPr>
            </w:pPr>
            <w:r w:rsidRPr="00887060">
              <w:rPr>
                <w:sz w:val="20"/>
                <w:szCs w:val="20"/>
              </w:rPr>
              <w:t>3,102 (46%)</w:t>
            </w:r>
          </w:p>
        </w:tc>
      </w:tr>
      <w:tr w:rsidR="00887060" w14:paraId="5CE5FEEF" w14:textId="77777777" w:rsidTr="00887060">
        <w:tc>
          <w:tcPr>
            <w:tcW w:w="0" w:type="auto"/>
            <w:tcBorders>
              <w:top w:val="single" w:sz="4" w:space="0" w:color="auto"/>
              <w:left w:val="single" w:sz="4" w:space="0" w:color="auto"/>
            </w:tcBorders>
          </w:tcPr>
          <w:p w14:paraId="3477AA76" w14:textId="4E7FC2AC" w:rsidR="00887060" w:rsidRPr="00887060" w:rsidRDefault="00887060" w:rsidP="007422CB">
            <w:pPr>
              <w:pStyle w:val="Compact"/>
              <w:rPr>
                <w:sz w:val="20"/>
                <w:szCs w:val="20"/>
              </w:rPr>
            </w:pPr>
            <w:r w:rsidRPr="00887060">
              <w:rPr>
                <w:sz w:val="20"/>
                <w:szCs w:val="20"/>
              </w:rPr>
              <w:t>COVID-19</w:t>
            </w:r>
            <w:r w:rsidRPr="00887060">
              <w:rPr>
                <w:sz w:val="20"/>
                <w:szCs w:val="20"/>
              </w:rPr>
              <w:t xml:space="preserve"> Status</w:t>
            </w:r>
            <w:r w:rsidR="00022316">
              <w:rPr>
                <w:sz w:val="20"/>
                <w:szCs w:val="20"/>
              </w:rPr>
              <w:t xml:space="preserve"> at Delivery</w:t>
            </w:r>
          </w:p>
        </w:tc>
        <w:tc>
          <w:tcPr>
            <w:tcW w:w="0" w:type="auto"/>
            <w:tcBorders>
              <w:top w:val="single" w:sz="4" w:space="0" w:color="auto"/>
              <w:right w:val="single" w:sz="4" w:space="0" w:color="auto"/>
            </w:tcBorders>
          </w:tcPr>
          <w:p w14:paraId="6DD34409" w14:textId="77777777" w:rsidR="00887060" w:rsidRPr="00887060" w:rsidRDefault="00887060" w:rsidP="007422CB">
            <w:pPr>
              <w:pStyle w:val="Compact"/>
              <w:rPr>
                <w:sz w:val="20"/>
                <w:szCs w:val="20"/>
              </w:rPr>
            </w:pPr>
          </w:p>
        </w:tc>
      </w:tr>
      <w:tr w:rsidR="00887060" w14:paraId="165EA985" w14:textId="77777777" w:rsidTr="00887060">
        <w:tc>
          <w:tcPr>
            <w:tcW w:w="0" w:type="auto"/>
            <w:tcBorders>
              <w:left w:val="single" w:sz="4" w:space="0" w:color="auto"/>
            </w:tcBorders>
          </w:tcPr>
          <w:p w14:paraId="7E7205CA" w14:textId="7AB66015" w:rsidR="00887060" w:rsidRPr="00887060" w:rsidRDefault="00887060" w:rsidP="007422CB">
            <w:pPr>
              <w:pStyle w:val="Compact"/>
              <w:rPr>
                <w:sz w:val="20"/>
                <w:szCs w:val="20"/>
              </w:rPr>
            </w:pPr>
            <w:r w:rsidRPr="00887060">
              <w:rPr>
                <w:sz w:val="20"/>
                <w:szCs w:val="20"/>
              </w:rPr>
              <w:t xml:space="preserve">   </w:t>
            </w:r>
            <w:r w:rsidRPr="00887060">
              <w:rPr>
                <w:sz w:val="20"/>
                <w:szCs w:val="20"/>
              </w:rPr>
              <w:t>COVID-19 Infection</w:t>
            </w:r>
          </w:p>
        </w:tc>
        <w:tc>
          <w:tcPr>
            <w:tcW w:w="0" w:type="auto"/>
            <w:tcBorders>
              <w:right w:val="single" w:sz="4" w:space="0" w:color="auto"/>
            </w:tcBorders>
          </w:tcPr>
          <w:p w14:paraId="775516F5" w14:textId="77777777" w:rsidR="00887060" w:rsidRPr="00887060" w:rsidRDefault="00887060" w:rsidP="007422CB">
            <w:pPr>
              <w:pStyle w:val="Compact"/>
              <w:jc w:val="center"/>
              <w:rPr>
                <w:sz w:val="20"/>
                <w:szCs w:val="20"/>
              </w:rPr>
            </w:pPr>
            <w:r w:rsidRPr="00887060">
              <w:rPr>
                <w:sz w:val="20"/>
                <w:szCs w:val="20"/>
              </w:rPr>
              <w:t>1,332 (20%)</w:t>
            </w:r>
          </w:p>
        </w:tc>
      </w:tr>
      <w:tr w:rsidR="00887060" w14:paraId="060CB7E6" w14:textId="77777777" w:rsidTr="00887060">
        <w:tc>
          <w:tcPr>
            <w:tcW w:w="0" w:type="auto"/>
            <w:tcBorders>
              <w:left w:val="single" w:sz="4" w:space="0" w:color="auto"/>
              <w:bottom w:val="single" w:sz="4" w:space="0" w:color="auto"/>
            </w:tcBorders>
          </w:tcPr>
          <w:p w14:paraId="489A182D" w14:textId="16C6D0BE" w:rsidR="00887060" w:rsidRPr="00887060" w:rsidRDefault="00887060" w:rsidP="007422CB">
            <w:pPr>
              <w:pStyle w:val="Compact"/>
              <w:rPr>
                <w:sz w:val="20"/>
                <w:szCs w:val="20"/>
              </w:rPr>
            </w:pPr>
            <w:r w:rsidRPr="00887060">
              <w:rPr>
                <w:sz w:val="20"/>
                <w:szCs w:val="20"/>
              </w:rPr>
              <w:t xml:space="preserve">   </w:t>
            </w:r>
            <w:r w:rsidRPr="00887060">
              <w:rPr>
                <w:sz w:val="20"/>
                <w:szCs w:val="20"/>
              </w:rPr>
              <w:t>No COVID-19 Infection</w:t>
            </w:r>
          </w:p>
        </w:tc>
        <w:tc>
          <w:tcPr>
            <w:tcW w:w="0" w:type="auto"/>
            <w:tcBorders>
              <w:bottom w:val="single" w:sz="4" w:space="0" w:color="auto"/>
              <w:right w:val="single" w:sz="4" w:space="0" w:color="auto"/>
            </w:tcBorders>
          </w:tcPr>
          <w:p w14:paraId="5A9E4D6A" w14:textId="77777777" w:rsidR="00887060" w:rsidRPr="00887060" w:rsidRDefault="00887060" w:rsidP="007422CB">
            <w:pPr>
              <w:pStyle w:val="Compact"/>
              <w:jc w:val="center"/>
              <w:rPr>
                <w:sz w:val="20"/>
                <w:szCs w:val="20"/>
              </w:rPr>
            </w:pPr>
            <w:r w:rsidRPr="00887060">
              <w:rPr>
                <w:sz w:val="20"/>
                <w:szCs w:val="20"/>
              </w:rPr>
              <w:t>5,371 (80%)</w:t>
            </w:r>
          </w:p>
        </w:tc>
      </w:tr>
      <w:tr w:rsidR="00887060" w14:paraId="7697F53B" w14:textId="77777777" w:rsidTr="00887060">
        <w:tc>
          <w:tcPr>
            <w:tcW w:w="0" w:type="auto"/>
            <w:tcBorders>
              <w:top w:val="single" w:sz="4" w:space="0" w:color="auto"/>
              <w:left w:val="single" w:sz="4" w:space="0" w:color="auto"/>
            </w:tcBorders>
          </w:tcPr>
          <w:p w14:paraId="30F7A49C" w14:textId="71B7CF0C" w:rsidR="00887060" w:rsidRPr="00887060" w:rsidRDefault="00887060" w:rsidP="007422CB">
            <w:pPr>
              <w:pStyle w:val="Compact"/>
              <w:rPr>
                <w:sz w:val="20"/>
                <w:szCs w:val="20"/>
              </w:rPr>
            </w:pPr>
            <w:r w:rsidRPr="00887060">
              <w:rPr>
                <w:sz w:val="20"/>
                <w:szCs w:val="20"/>
              </w:rPr>
              <w:t>Delivery Type</w:t>
            </w:r>
          </w:p>
        </w:tc>
        <w:tc>
          <w:tcPr>
            <w:tcW w:w="0" w:type="auto"/>
            <w:tcBorders>
              <w:top w:val="single" w:sz="4" w:space="0" w:color="auto"/>
              <w:right w:val="single" w:sz="4" w:space="0" w:color="auto"/>
            </w:tcBorders>
          </w:tcPr>
          <w:p w14:paraId="2772B509" w14:textId="77777777" w:rsidR="00887060" w:rsidRPr="00887060" w:rsidRDefault="00887060" w:rsidP="007422CB">
            <w:pPr>
              <w:pStyle w:val="Compact"/>
              <w:rPr>
                <w:sz w:val="20"/>
                <w:szCs w:val="20"/>
              </w:rPr>
            </w:pPr>
          </w:p>
        </w:tc>
      </w:tr>
      <w:tr w:rsidR="00887060" w14:paraId="126A7310" w14:textId="77777777" w:rsidTr="00887060">
        <w:tc>
          <w:tcPr>
            <w:tcW w:w="0" w:type="auto"/>
            <w:tcBorders>
              <w:left w:val="single" w:sz="4" w:space="0" w:color="auto"/>
            </w:tcBorders>
          </w:tcPr>
          <w:p w14:paraId="3EA7C5E7" w14:textId="09A1776F" w:rsidR="00887060" w:rsidRPr="00887060" w:rsidRDefault="00887060" w:rsidP="007422CB">
            <w:pPr>
              <w:pStyle w:val="Compact"/>
              <w:rPr>
                <w:sz w:val="20"/>
                <w:szCs w:val="20"/>
              </w:rPr>
            </w:pPr>
            <w:r w:rsidRPr="00887060">
              <w:rPr>
                <w:sz w:val="20"/>
                <w:szCs w:val="20"/>
              </w:rPr>
              <w:t xml:space="preserve">   </w:t>
            </w:r>
            <w:r w:rsidRPr="00887060">
              <w:rPr>
                <w:sz w:val="20"/>
                <w:szCs w:val="20"/>
              </w:rPr>
              <w:t>C-Section</w:t>
            </w:r>
          </w:p>
        </w:tc>
        <w:tc>
          <w:tcPr>
            <w:tcW w:w="0" w:type="auto"/>
            <w:tcBorders>
              <w:right w:val="single" w:sz="4" w:space="0" w:color="auto"/>
            </w:tcBorders>
          </w:tcPr>
          <w:p w14:paraId="4560174B" w14:textId="77777777" w:rsidR="00887060" w:rsidRPr="00887060" w:rsidRDefault="00887060" w:rsidP="007422CB">
            <w:pPr>
              <w:pStyle w:val="Compact"/>
              <w:jc w:val="center"/>
              <w:rPr>
                <w:sz w:val="20"/>
                <w:szCs w:val="20"/>
              </w:rPr>
            </w:pPr>
            <w:r w:rsidRPr="00887060">
              <w:rPr>
                <w:sz w:val="20"/>
                <w:szCs w:val="20"/>
              </w:rPr>
              <w:t>1,175 (18%)</w:t>
            </w:r>
          </w:p>
        </w:tc>
      </w:tr>
      <w:tr w:rsidR="00887060" w14:paraId="1664B8AB" w14:textId="77777777" w:rsidTr="00887060">
        <w:tc>
          <w:tcPr>
            <w:tcW w:w="0" w:type="auto"/>
            <w:tcBorders>
              <w:left w:val="single" w:sz="4" w:space="0" w:color="auto"/>
              <w:bottom w:val="single" w:sz="4" w:space="0" w:color="auto"/>
            </w:tcBorders>
          </w:tcPr>
          <w:p w14:paraId="18CCE5FC" w14:textId="1D56DEEF" w:rsidR="00887060" w:rsidRPr="00887060" w:rsidRDefault="00887060" w:rsidP="007422CB">
            <w:pPr>
              <w:pStyle w:val="Compact"/>
              <w:rPr>
                <w:sz w:val="20"/>
                <w:szCs w:val="20"/>
              </w:rPr>
            </w:pPr>
            <w:r w:rsidRPr="00887060">
              <w:rPr>
                <w:sz w:val="20"/>
                <w:szCs w:val="20"/>
              </w:rPr>
              <w:t xml:space="preserve">   </w:t>
            </w:r>
            <w:r w:rsidRPr="00887060">
              <w:rPr>
                <w:sz w:val="20"/>
                <w:szCs w:val="20"/>
              </w:rPr>
              <w:t>Vaginal Delivery</w:t>
            </w:r>
          </w:p>
        </w:tc>
        <w:tc>
          <w:tcPr>
            <w:tcW w:w="0" w:type="auto"/>
            <w:tcBorders>
              <w:bottom w:val="single" w:sz="4" w:space="0" w:color="auto"/>
              <w:right w:val="single" w:sz="4" w:space="0" w:color="auto"/>
            </w:tcBorders>
          </w:tcPr>
          <w:p w14:paraId="079FBEBB" w14:textId="77777777" w:rsidR="00887060" w:rsidRPr="00887060" w:rsidRDefault="00887060" w:rsidP="007422CB">
            <w:pPr>
              <w:pStyle w:val="Compact"/>
              <w:jc w:val="center"/>
              <w:rPr>
                <w:sz w:val="20"/>
                <w:szCs w:val="20"/>
              </w:rPr>
            </w:pPr>
            <w:r w:rsidRPr="00887060">
              <w:rPr>
                <w:sz w:val="20"/>
                <w:szCs w:val="20"/>
              </w:rPr>
              <w:t>5,528 (82%)</w:t>
            </w:r>
          </w:p>
        </w:tc>
      </w:tr>
      <w:tr w:rsidR="00887060" w14:paraId="2B2F5D08" w14:textId="77777777" w:rsidTr="00887060">
        <w:tc>
          <w:tcPr>
            <w:tcW w:w="0" w:type="auto"/>
            <w:tcBorders>
              <w:top w:val="single" w:sz="4" w:space="0" w:color="auto"/>
              <w:left w:val="single" w:sz="4" w:space="0" w:color="auto"/>
            </w:tcBorders>
          </w:tcPr>
          <w:p w14:paraId="0DD373B6" w14:textId="77777777" w:rsidR="00887060" w:rsidRPr="00887060" w:rsidRDefault="00887060" w:rsidP="007422CB">
            <w:pPr>
              <w:pStyle w:val="Compact"/>
              <w:rPr>
                <w:sz w:val="20"/>
                <w:szCs w:val="20"/>
              </w:rPr>
            </w:pPr>
            <w:r w:rsidRPr="00887060">
              <w:rPr>
                <w:sz w:val="20"/>
                <w:szCs w:val="20"/>
              </w:rPr>
              <w:t>Pre-eclampsia Status</w:t>
            </w:r>
          </w:p>
        </w:tc>
        <w:tc>
          <w:tcPr>
            <w:tcW w:w="0" w:type="auto"/>
            <w:tcBorders>
              <w:top w:val="single" w:sz="4" w:space="0" w:color="auto"/>
              <w:right w:val="single" w:sz="4" w:space="0" w:color="auto"/>
            </w:tcBorders>
          </w:tcPr>
          <w:p w14:paraId="040ABE33" w14:textId="77777777" w:rsidR="00887060" w:rsidRPr="00887060" w:rsidRDefault="00887060" w:rsidP="007422CB">
            <w:pPr>
              <w:pStyle w:val="Compact"/>
              <w:rPr>
                <w:sz w:val="20"/>
                <w:szCs w:val="20"/>
              </w:rPr>
            </w:pPr>
          </w:p>
        </w:tc>
      </w:tr>
      <w:tr w:rsidR="00887060" w14:paraId="0B7DC6FD" w14:textId="77777777" w:rsidTr="00887060">
        <w:tc>
          <w:tcPr>
            <w:tcW w:w="0" w:type="auto"/>
            <w:tcBorders>
              <w:left w:val="single" w:sz="4" w:space="0" w:color="auto"/>
            </w:tcBorders>
          </w:tcPr>
          <w:p w14:paraId="5310BFB7" w14:textId="5A5C77B9" w:rsidR="00887060" w:rsidRPr="00887060" w:rsidRDefault="00887060" w:rsidP="007422CB">
            <w:pPr>
              <w:pStyle w:val="Compact"/>
              <w:rPr>
                <w:sz w:val="20"/>
                <w:szCs w:val="20"/>
              </w:rPr>
            </w:pPr>
            <w:r w:rsidRPr="00887060">
              <w:rPr>
                <w:sz w:val="20"/>
                <w:szCs w:val="20"/>
              </w:rPr>
              <w:t xml:space="preserve">   </w:t>
            </w:r>
            <w:r w:rsidRPr="00887060">
              <w:rPr>
                <w:sz w:val="20"/>
                <w:szCs w:val="20"/>
              </w:rPr>
              <w:t>No Pre-eclampsia</w:t>
            </w:r>
          </w:p>
        </w:tc>
        <w:tc>
          <w:tcPr>
            <w:tcW w:w="0" w:type="auto"/>
            <w:tcBorders>
              <w:right w:val="single" w:sz="4" w:space="0" w:color="auto"/>
            </w:tcBorders>
          </w:tcPr>
          <w:p w14:paraId="4497B815" w14:textId="77777777" w:rsidR="00887060" w:rsidRPr="00887060" w:rsidRDefault="00887060" w:rsidP="007422CB">
            <w:pPr>
              <w:pStyle w:val="Compact"/>
              <w:jc w:val="center"/>
              <w:rPr>
                <w:sz w:val="20"/>
                <w:szCs w:val="20"/>
              </w:rPr>
            </w:pPr>
            <w:r w:rsidRPr="00887060">
              <w:rPr>
                <w:sz w:val="20"/>
                <w:szCs w:val="20"/>
              </w:rPr>
              <w:t>6,089 (91%)</w:t>
            </w:r>
          </w:p>
        </w:tc>
      </w:tr>
      <w:tr w:rsidR="00887060" w14:paraId="424B4469" w14:textId="77777777" w:rsidTr="00887060">
        <w:tc>
          <w:tcPr>
            <w:tcW w:w="0" w:type="auto"/>
            <w:tcBorders>
              <w:left w:val="single" w:sz="4" w:space="0" w:color="auto"/>
              <w:bottom w:val="single" w:sz="4" w:space="0" w:color="auto"/>
            </w:tcBorders>
          </w:tcPr>
          <w:p w14:paraId="734784B7" w14:textId="38B9C794" w:rsidR="00887060" w:rsidRPr="00887060" w:rsidRDefault="00887060" w:rsidP="007422CB">
            <w:pPr>
              <w:pStyle w:val="Compact"/>
              <w:rPr>
                <w:sz w:val="20"/>
                <w:szCs w:val="20"/>
              </w:rPr>
            </w:pPr>
            <w:r w:rsidRPr="00887060">
              <w:rPr>
                <w:sz w:val="20"/>
                <w:szCs w:val="20"/>
              </w:rPr>
              <w:t xml:space="preserve">   </w:t>
            </w:r>
            <w:r w:rsidRPr="00887060">
              <w:rPr>
                <w:sz w:val="20"/>
                <w:szCs w:val="20"/>
              </w:rPr>
              <w:t>Pre-eclampsia</w:t>
            </w:r>
          </w:p>
        </w:tc>
        <w:tc>
          <w:tcPr>
            <w:tcW w:w="0" w:type="auto"/>
            <w:tcBorders>
              <w:bottom w:val="single" w:sz="4" w:space="0" w:color="auto"/>
              <w:right w:val="single" w:sz="4" w:space="0" w:color="auto"/>
            </w:tcBorders>
          </w:tcPr>
          <w:p w14:paraId="19BB5226" w14:textId="77777777" w:rsidR="00887060" w:rsidRPr="00887060" w:rsidRDefault="00887060" w:rsidP="007422CB">
            <w:pPr>
              <w:pStyle w:val="Compact"/>
              <w:jc w:val="center"/>
              <w:rPr>
                <w:sz w:val="20"/>
                <w:szCs w:val="20"/>
              </w:rPr>
            </w:pPr>
            <w:r w:rsidRPr="00887060">
              <w:rPr>
                <w:sz w:val="20"/>
                <w:szCs w:val="20"/>
              </w:rPr>
              <w:t>614 (9.2%)</w:t>
            </w:r>
          </w:p>
        </w:tc>
      </w:tr>
      <w:tr w:rsidR="00887060" w14:paraId="2E2B4F5C" w14:textId="77777777" w:rsidTr="00887060">
        <w:tc>
          <w:tcPr>
            <w:tcW w:w="0" w:type="auto"/>
            <w:tcBorders>
              <w:top w:val="single" w:sz="4" w:space="0" w:color="auto"/>
              <w:left w:val="single" w:sz="4" w:space="0" w:color="auto"/>
            </w:tcBorders>
          </w:tcPr>
          <w:p w14:paraId="24AB131A" w14:textId="12F5DA95" w:rsidR="00887060" w:rsidRPr="00887060" w:rsidRDefault="00887060" w:rsidP="007422CB">
            <w:pPr>
              <w:pStyle w:val="Compact"/>
              <w:rPr>
                <w:sz w:val="20"/>
                <w:szCs w:val="20"/>
              </w:rPr>
            </w:pPr>
            <w:r w:rsidRPr="00887060">
              <w:rPr>
                <w:sz w:val="20"/>
                <w:szCs w:val="20"/>
              </w:rPr>
              <w:t>Stillbirth</w:t>
            </w:r>
            <w:r w:rsidRPr="00887060">
              <w:rPr>
                <w:sz w:val="20"/>
                <w:szCs w:val="20"/>
              </w:rPr>
              <w:t xml:space="preserve"> Status</w:t>
            </w:r>
          </w:p>
        </w:tc>
        <w:tc>
          <w:tcPr>
            <w:tcW w:w="0" w:type="auto"/>
            <w:tcBorders>
              <w:top w:val="single" w:sz="4" w:space="0" w:color="auto"/>
              <w:right w:val="single" w:sz="4" w:space="0" w:color="auto"/>
            </w:tcBorders>
          </w:tcPr>
          <w:p w14:paraId="5208943A" w14:textId="77777777" w:rsidR="00887060" w:rsidRPr="00887060" w:rsidRDefault="00887060" w:rsidP="007422CB">
            <w:pPr>
              <w:pStyle w:val="Compact"/>
              <w:rPr>
                <w:sz w:val="20"/>
                <w:szCs w:val="20"/>
              </w:rPr>
            </w:pPr>
          </w:p>
        </w:tc>
      </w:tr>
      <w:tr w:rsidR="00887060" w14:paraId="1C80AF5F" w14:textId="77777777" w:rsidTr="00887060">
        <w:tc>
          <w:tcPr>
            <w:tcW w:w="0" w:type="auto"/>
            <w:tcBorders>
              <w:left w:val="single" w:sz="4" w:space="0" w:color="auto"/>
            </w:tcBorders>
          </w:tcPr>
          <w:p w14:paraId="4E90518A" w14:textId="7B538250" w:rsidR="00887060" w:rsidRPr="00887060" w:rsidRDefault="00887060" w:rsidP="007422CB">
            <w:pPr>
              <w:pStyle w:val="Compact"/>
              <w:rPr>
                <w:sz w:val="20"/>
                <w:szCs w:val="20"/>
              </w:rPr>
            </w:pPr>
            <w:r w:rsidRPr="00887060">
              <w:rPr>
                <w:sz w:val="20"/>
                <w:szCs w:val="20"/>
              </w:rPr>
              <w:t xml:space="preserve">   </w:t>
            </w:r>
            <w:r w:rsidRPr="00887060">
              <w:rPr>
                <w:sz w:val="20"/>
                <w:szCs w:val="20"/>
              </w:rPr>
              <w:t>Live Birth</w:t>
            </w:r>
          </w:p>
        </w:tc>
        <w:tc>
          <w:tcPr>
            <w:tcW w:w="0" w:type="auto"/>
            <w:tcBorders>
              <w:right w:val="single" w:sz="4" w:space="0" w:color="auto"/>
            </w:tcBorders>
          </w:tcPr>
          <w:p w14:paraId="1195022A" w14:textId="77777777" w:rsidR="00887060" w:rsidRPr="00887060" w:rsidRDefault="00887060" w:rsidP="007422CB">
            <w:pPr>
              <w:pStyle w:val="Compact"/>
              <w:jc w:val="center"/>
              <w:rPr>
                <w:sz w:val="20"/>
                <w:szCs w:val="20"/>
              </w:rPr>
            </w:pPr>
            <w:r w:rsidRPr="00887060">
              <w:rPr>
                <w:sz w:val="20"/>
                <w:szCs w:val="20"/>
              </w:rPr>
              <w:t>6,644 (99%)</w:t>
            </w:r>
          </w:p>
        </w:tc>
      </w:tr>
      <w:tr w:rsidR="00887060" w14:paraId="6BB48DED" w14:textId="77777777" w:rsidTr="00887060">
        <w:tc>
          <w:tcPr>
            <w:tcW w:w="0" w:type="auto"/>
            <w:tcBorders>
              <w:left w:val="single" w:sz="4" w:space="0" w:color="auto"/>
              <w:bottom w:val="single" w:sz="4" w:space="0" w:color="auto"/>
            </w:tcBorders>
          </w:tcPr>
          <w:p w14:paraId="0FD48623" w14:textId="4339C266" w:rsidR="00887060" w:rsidRPr="00887060" w:rsidRDefault="00887060" w:rsidP="007422CB">
            <w:pPr>
              <w:pStyle w:val="Compact"/>
              <w:rPr>
                <w:sz w:val="20"/>
                <w:szCs w:val="20"/>
              </w:rPr>
            </w:pPr>
            <w:r w:rsidRPr="00887060">
              <w:rPr>
                <w:sz w:val="20"/>
                <w:szCs w:val="20"/>
              </w:rPr>
              <w:t xml:space="preserve">   </w:t>
            </w:r>
            <w:r w:rsidRPr="00887060">
              <w:rPr>
                <w:sz w:val="20"/>
                <w:szCs w:val="20"/>
              </w:rPr>
              <w:t>Stillbirth</w:t>
            </w:r>
          </w:p>
        </w:tc>
        <w:tc>
          <w:tcPr>
            <w:tcW w:w="0" w:type="auto"/>
            <w:tcBorders>
              <w:bottom w:val="single" w:sz="4" w:space="0" w:color="auto"/>
              <w:right w:val="single" w:sz="4" w:space="0" w:color="auto"/>
            </w:tcBorders>
          </w:tcPr>
          <w:p w14:paraId="672AB026" w14:textId="77777777" w:rsidR="00887060" w:rsidRPr="00887060" w:rsidRDefault="00887060" w:rsidP="007422CB">
            <w:pPr>
              <w:pStyle w:val="Compact"/>
              <w:jc w:val="center"/>
              <w:rPr>
                <w:sz w:val="20"/>
                <w:szCs w:val="20"/>
              </w:rPr>
            </w:pPr>
            <w:r w:rsidRPr="00887060">
              <w:rPr>
                <w:sz w:val="20"/>
                <w:szCs w:val="20"/>
              </w:rPr>
              <w:t>59 (0.9%)</w:t>
            </w:r>
          </w:p>
        </w:tc>
      </w:tr>
      <w:tr w:rsidR="00887060" w14:paraId="3B0DBF0A" w14:textId="77777777" w:rsidTr="00887060">
        <w:tc>
          <w:tcPr>
            <w:tcW w:w="0" w:type="auto"/>
            <w:tcBorders>
              <w:top w:val="single" w:sz="4" w:space="0" w:color="auto"/>
              <w:left w:val="single" w:sz="4" w:space="0" w:color="auto"/>
            </w:tcBorders>
          </w:tcPr>
          <w:p w14:paraId="08B59B10" w14:textId="08EF2CC9" w:rsidR="00887060" w:rsidRPr="00887060" w:rsidRDefault="00887060" w:rsidP="007422CB">
            <w:pPr>
              <w:pStyle w:val="Compact"/>
              <w:rPr>
                <w:sz w:val="20"/>
                <w:szCs w:val="20"/>
              </w:rPr>
            </w:pPr>
            <w:r w:rsidRPr="00887060">
              <w:rPr>
                <w:sz w:val="20"/>
                <w:szCs w:val="20"/>
              </w:rPr>
              <w:t xml:space="preserve">Single/multiple </w:t>
            </w:r>
            <w:r w:rsidRPr="00887060">
              <w:rPr>
                <w:sz w:val="20"/>
                <w:szCs w:val="20"/>
              </w:rPr>
              <w:t>gestation</w:t>
            </w:r>
          </w:p>
        </w:tc>
        <w:tc>
          <w:tcPr>
            <w:tcW w:w="0" w:type="auto"/>
            <w:tcBorders>
              <w:top w:val="single" w:sz="4" w:space="0" w:color="auto"/>
              <w:right w:val="single" w:sz="4" w:space="0" w:color="auto"/>
            </w:tcBorders>
          </w:tcPr>
          <w:p w14:paraId="3A0A5FE6" w14:textId="77777777" w:rsidR="00887060" w:rsidRPr="00887060" w:rsidRDefault="00887060" w:rsidP="007422CB">
            <w:pPr>
              <w:pStyle w:val="Compact"/>
              <w:rPr>
                <w:sz w:val="20"/>
                <w:szCs w:val="20"/>
              </w:rPr>
            </w:pPr>
          </w:p>
        </w:tc>
      </w:tr>
      <w:tr w:rsidR="00887060" w14:paraId="6AAAFFC8" w14:textId="77777777" w:rsidTr="00887060">
        <w:tc>
          <w:tcPr>
            <w:tcW w:w="0" w:type="auto"/>
            <w:tcBorders>
              <w:left w:val="single" w:sz="4" w:space="0" w:color="auto"/>
            </w:tcBorders>
          </w:tcPr>
          <w:p w14:paraId="1966BD39" w14:textId="1E571C9D" w:rsidR="00887060" w:rsidRPr="00887060" w:rsidRDefault="00887060" w:rsidP="007422CB">
            <w:pPr>
              <w:pStyle w:val="Compact"/>
              <w:rPr>
                <w:sz w:val="20"/>
                <w:szCs w:val="20"/>
              </w:rPr>
            </w:pPr>
            <w:r w:rsidRPr="00887060">
              <w:rPr>
                <w:sz w:val="20"/>
                <w:szCs w:val="20"/>
              </w:rPr>
              <w:t xml:space="preserve">   </w:t>
            </w:r>
            <w:r w:rsidRPr="00887060">
              <w:rPr>
                <w:sz w:val="20"/>
                <w:szCs w:val="20"/>
              </w:rPr>
              <w:t>Multiple Gestation</w:t>
            </w:r>
          </w:p>
        </w:tc>
        <w:tc>
          <w:tcPr>
            <w:tcW w:w="0" w:type="auto"/>
            <w:tcBorders>
              <w:right w:val="single" w:sz="4" w:space="0" w:color="auto"/>
            </w:tcBorders>
          </w:tcPr>
          <w:p w14:paraId="1575FE57" w14:textId="77777777" w:rsidR="00887060" w:rsidRPr="00887060" w:rsidRDefault="00887060" w:rsidP="007422CB">
            <w:pPr>
              <w:pStyle w:val="Compact"/>
              <w:jc w:val="center"/>
              <w:rPr>
                <w:sz w:val="20"/>
                <w:szCs w:val="20"/>
              </w:rPr>
            </w:pPr>
            <w:r w:rsidRPr="00887060">
              <w:rPr>
                <w:sz w:val="20"/>
                <w:szCs w:val="20"/>
              </w:rPr>
              <w:t>119 (1.8%)</w:t>
            </w:r>
          </w:p>
        </w:tc>
      </w:tr>
      <w:tr w:rsidR="00887060" w14:paraId="7B1DEA16" w14:textId="77777777" w:rsidTr="00887060">
        <w:tc>
          <w:tcPr>
            <w:tcW w:w="0" w:type="auto"/>
            <w:tcBorders>
              <w:left w:val="single" w:sz="4" w:space="0" w:color="auto"/>
              <w:bottom w:val="single" w:sz="4" w:space="0" w:color="auto"/>
            </w:tcBorders>
          </w:tcPr>
          <w:p w14:paraId="3D2393FE" w14:textId="15BD32C4" w:rsidR="00887060" w:rsidRPr="00887060" w:rsidRDefault="00887060" w:rsidP="007422CB">
            <w:pPr>
              <w:pStyle w:val="Compact"/>
              <w:rPr>
                <w:sz w:val="20"/>
                <w:szCs w:val="20"/>
              </w:rPr>
            </w:pPr>
            <w:r w:rsidRPr="00887060">
              <w:rPr>
                <w:sz w:val="20"/>
                <w:szCs w:val="20"/>
              </w:rPr>
              <w:t xml:space="preserve">   </w:t>
            </w:r>
            <w:r w:rsidRPr="00887060">
              <w:rPr>
                <w:sz w:val="20"/>
                <w:szCs w:val="20"/>
              </w:rPr>
              <w:t>Singleton</w:t>
            </w:r>
          </w:p>
        </w:tc>
        <w:tc>
          <w:tcPr>
            <w:tcW w:w="0" w:type="auto"/>
            <w:tcBorders>
              <w:bottom w:val="single" w:sz="4" w:space="0" w:color="auto"/>
              <w:right w:val="single" w:sz="4" w:space="0" w:color="auto"/>
            </w:tcBorders>
          </w:tcPr>
          <w:p w14:paraId="18F1462D" w14:textId="77777777" w:rsidR="00887060" w:rsidRPr="00887060" w:rsidRDefault="00887060" w:rsidP="007422CB">
            <w:pPr>
              <w:pStyle w:val="Compact"/>
              <w:jc w:val="center"/>
              <w:rPr>
                <w:sz w:val="20"/>
                <w:szCs w:val="20"/>
              </w:rPr>
            </w:pPr>
            <w:r w:rsidRPr="00887060">
              <w:rPr>
                <w:sz w:val="20"/>
                <w:szCs w:val="20"/>
              </w:rPr>
              <w:t>6,584 (98%)</w:t>
            </w:r>
          </w:p>
        </w:tc>
      </w:tr>
      <w:tr w:rsidR="00887060" w14:paraId="37623E5F" w14:textId="77777777" w:rsidTr="00887060">
        <w:tc>
          <w:tcPr>
            <w:tcW w:w="0" w:type="auto"/>
            <w:tcBorders>
              <w:top w:val="single" w:sz="4" w:space="0" w:color="auto"/>
              <w:left w:val="single" w:sz="4" w:space="0" w:color="auto"/>
            </w:tcBorders>
          </w:tcPr>
          <w:p w14:paraId="45AA419B" w14:textId="77777777" w:rsidR="00887060" w:rsidRPr="00887060" w:rsidRDefault="00887060" w:rsidP="007422CB">
            <w:pPr>
              <w:pStyle w:val="Compact"/>
              <w:rPr>
                <w:sz w:val="20"/>
                <w:szCs w:val="20"/>
              </w:rPr>
            </w:pPr>
            <w:r w:rsidRPr="00887060">
              <w:rPr>
                <w:sz w:val="20"/>
                <w:szCs w:val="20"/>
              </w:rPr>
              <w:t>Maternal Mortality</w:t>
            </w:r>
          </w:p>
        </w:tc>
        <w:tc>
          <w:tcPr>
            <w:tcW w:w="0" w:type="auto"/>
            <w:tcBorders>
              <w:top w:val="single" w:sz="4" w:space="0" w:color="auto"/>
              <w:right w:val="single" w:sz="4" w:space="0" w:color="auto"/>
            </w:tcBorders>
          </w:tcPr>
          <w:p w14:paraId="2FA3BBA4" w14:textId="77777777" w:rsidR="00887060" w:rsidRPr="00887060" w:rsidRDefault="00887060" w:rsidP="007422CB">
            <w:pPr>
              <w:pStyle w:val="Compact"/>
              <w:rPr>
                <w:sz w:val="20"/>
                <w:szCs w:val="20"/>
              </w:rPr>
            </w:pPr>
          </w:p>
        </w:tc>
      </w:tr>
      <w:tr w:rsidR="00887060" w14:paraId="48F40061" w14:textId="77777777" w:rsidTr="00887060">
        <w:tc>
          <w:tcPr>
            <w:tcW w:w="0" w:type="auto"/>
            <w:tcBorders>
              <w:left w:val="single" w:sz="4" w:space="0" w:color="auto"/>
            </w:tcBorders>
          </w:tcPr>
          <w:p w14:paraId="4EFF9A67" w14:textId="015AC49A" w:rsidR="00887060" w:rsidRPr="00887060" w:rsidRDefault="00887060" w:rsidP="007422CB">
            <w:pPr>
              <w:pStyle w:val="Compact"/>
              <w:rPr>
                <w:sz w:val="20"/>
                <w:szCs w:val="20"/>
              </w:rPr>
            </w:pPr>
            <w:r w:rsidRPr="00887060">
              <w:rPr>
                <w:sz w:val="20"/>
                <w:szCs w:val="20"/>
              </w:rPr>
              <w:t xml:space="preserve">   </w:t>
            </w:r>
            <w:r w:rsidRPr="00887060">
              <w:rPr>
                <w:sz w:val="20"/>
                <w:szCs w:val="20"/>
              </w:rPr>
              <w:t>Mother Alive</w:t>
            </w:r>
          </w:p>
        </w:tc>
        <w:tc>
          <w:tcPr>
            <w:tcW w:w="0" w:type="auto"/>
            <w:tcBorders>
              <w:right w:val="single" w:sz="4" w:space="0" w:color="auto"/>
            </w:tcBorders>
          </w:tcPr>
          <w:p w14:paraId="3ED33DBB" w14:textId="77777777" w:rsidR="00887060" w:rsidRPr="00887060" w:rsidRDefault="00887060" w:rsidP="007422CB">
            <w:pPr>
              <w:pStyle w:val="Compact"/>
              <w:jc w:val="center"/>
              <w:rPr>
                <w:sz w:val="20"/>
                <w:szCs w:val="20"/>
              </w:rPr>
            </w:pPr>
            <w:r w:rsidRPr="00887060">
              <w:rPr>
                <w:sz w:val="20"/>
                <w:szCs w:val="20"/>
              </w:rPr>
              <w:t>6,685 (100%)</w:t>
            </w:r>
          </w:p>
        </w:tc>
      </w:tr>
      <w:tr w:rsidR="00887060" w14:paraId="7B9B00C1" w14:textId="77777777" w:rsidTr="00887060">
        <w:tc>
          <w:tcPr>
            <w:tcW w:w="0" w:type="auto"/>
            <w:tcBorders>
              <w:left w:val="single" w:sz="4" w:space="0" w:color="auto"/>
              <w:bottom w:val="single" w:sz="4" w:space="0" w:color="auto"/>
            </w:tcBorders>
          </w:tcPr>
          <w:p w14:paraId="53BF7416" w14:textId="396DF8AD" w:rsidR="00887060" w:rsidRPr="00887060" w:rsidRDefault="00887060" w:rsidP="007422CB">
            <w:pPr>
              <w:pStyle w:val="Compact"/>
              <w:rPr>
                <w:sz w:val="20"/>
                <w:szCs w:val="20"/>
              </w:rPr>
            </w:pPr>
            <w:r w:rsidRPr="00887060">
              <w:rPr>
                <w:sz w:val="20"/>
                <w:szCs w:val="20"/>
              </w:rPr>
              <w:t xml:space="preserve">   </w:t>
            </w:r>
            <w:r w:rsidRPr="00887060">
              <w:rPr>
                <w:sz w:val="20"/>
                <w:szCs w:val="20"/>
              </w:rPr>
              <w:t>Unknown</w:t>
            </w:r>
          </w:p>
        </w:tc>
        <w:tc>
          <w:tcPr>
            <w:tcW w:w="0" w:type="auto"/>
            <w:tcBorders>
              <w:bottom w:val="single" w:sz="4" w:space="0" w:color="auto"/>
              <w:right w:val="single" w:sz="4" w:space="0" w:color="auto"/>
            </w:tcBorders>
          </w:tcPr>
          <w:p w14:paraId="72D54A94" w14:textId="77777777" w:rsidR="00887060" w:rsidRPr="00887060" w:rsidRDefault="00887060" w:rsidP="007422CB">
            <w:pPr>
              <w:pStyle w:val="Compact"/>
              <w:jc w:val="center"/>
              <w:rPr>
                <w:sz w:val="20"/>
                <w:szCs w:val="20"/>
              </w:rPr>
            </w:pPr>
            <w:r w:rsidRPr="00887060">
              <w:rPr>
                <w:sz w:val="20"/>
                <w:szCs w:val="20"/>
              </w:rPr>
              <w:t>18</w:t>
            </w:r>
          </w:p>
        </w:tc>
      </w:tr>
      <w:tr w:rsidR="00887060" w14:paraId="10959228" w14:textId="77777777" w:rsidTr="00887060">
        <w:tc>
          <w:tcPr>
            <w:tcW w:w="0" w:type="auto"/>
            <w:tcBorders>
              <w:top w:val="single" w:sz="4" w:space="0" w:color="auto"/>
              <w:left w:val="single" w:sz="4" w:space="0" w:color="auto"/>
            </w:tcBorders>
          </w:tcPr>
          <w:p w14:paraId="0478E906" w14:textId="77777777" w:rsidR="00887060" w:rsidRPr="00887060" w:rsidRDefault="00887060" w:rsidP="007422CB">
            <w:pPr>
              <w:pStyle w:val="Compact"/>
              <w:rPr>
                <w:sz w:val="20"/>
                <w:szCs w:val="20"/>
              </w:rPr>
            </w:pPr>
            <w:r w:rsidRPr="00887060">
              <w:rPr>
                <w:sz w:val="20"/>
                <w:szCs w:val="20"/>
              </w:rPr>
              <w:t>Asthma Status</w:t>
            </w:r>
          </w:p>
        </w:tc>
        <w:tc>
          <w:tcPr>
            <w:tcW w:w="0" w:type="auto"/>
            <w:tcBorders>
              <w:top w:val="single" w:sz="4" w:space="0" w:color="auto"/>
              <w:right w:val="single" w:sz="4" w:space="0" w:color="auto"/>
            </w:tcBorders>
          </w:tcPr>
          <w:p w14:paraId="2D9036DD" w14:textId="77777777" w:rsidR="00887060" w:rsidRPr="00887060" w:rsidRDefault="00887060" w:rsidP="007422CB">
            <w:pPr>
              <w:pStyle w:val="Compact"/>
              <w:rPr>
                <w:sz w:val="20"/>
                <w:szCs w:val="20"/>
              </w:rPr>
            </w:pPr>
          </w:p>
        </w:tc>
      </w:tr>
      <w:tr w:rsidR="00887060" w14:paraId="13F58F7B" w14:textId="77777777" w:rsidTr="00887060">
        <w:tc>
          <w:tcPr>
            <w:tcW w:w="0" w:type="auto"/>
            <w:tcBorders>
              <w:left w:val="single" w:sz="4" w:space="0" w:color="auto"/>
            </w:tcBorders>
          </w:tcPr>
          <w:p w14:paraId="5514C226" w14:textId="377D0C2F" w:rsidR="00887060" w:rsidRPr="00887060" w:rsidRDefault="00887060" w:rsidP="007422CB">
            <w:pPr>
              <w:pStyle w:val="Compact"/>
              <w:rPr>
                <w:sz w:val="20"/>
                <w:szCs w:val="20"/>
              </w:rPr>
            </w:pPr>
            <w:r w:rsidRPr="00887060">
              <w:rPr>
                <w:sz w:val="20"/>
                <w:szCs w:val="20"/>
              </w:rPr>
              <w:t xml:space="preserve">   </w:t>
            </w:r>
            <w:r w:rsidRPr="00887060">
              <w:rPr>
                <w:sz w:val="20"/>
                <w:szCs w:val="20"/>
              </w:rPr>
              <w:t>Asthma</w:t>
            </w:r>
          </w:p>
        </w:tc>
        <w:tc>
          <w:tcPr>
            <w:tcW w:w="0" w:type="auto"/>
            <w:tcBorders>
              <w:right w:val="single" w:sz="4" w:space="0" w:color="auto"/>
            </w:tcBorders>
          </w:tcPr>
          <w:p w14:paraId="18691FCC" w14:textId="77777777" w:rsidR="00887060" w:rsidRPr="00887060" w:rsidRDefault="00887060" w:rsidP="007422CB">
            <w:pPr>
              <w:pStyle w:val="Compact"/>
              <w:jc w:val="center"/>
              <w:rPr>
                <w:sz w:val="20"/>
                <w:szCs w:val="20"/>
              </w:rPr>
            </w:pPr>
            <w:r w:rsidRPr="00887060">
              <w:rPr>
                <w:sz w:val="20"/>
                <w:szCs w:val="20"/>
              </w:rPr>
              <w:t>703 (10%)</w:t>
            </w:r>
          </w:p>
        </w:tc>
      </w:tr>
      <w:tr w:rsidR="00887060" w14:paraId="57BCE92F" w14:textId="77777777" w:rsidTr="00887060">
        <w:tc>
          <w:tcPr>
            <w:tcW w:w="0" w:type="auto"/>
            <w:tcBorders>
              <w:left w:val="single" w:sz="4" w:space="0" w:color="auto"/>
              <w:bottom w:val="single" w:sz="4" w:space="0" w:color="auto"/>
            </w:tcBorders>
          </w:tcPr>
          <w:p w14:paraId="4E8E2844" w14:textId="674988E6" w:rsidR="00887060" w:rsidRPr="00887060" w:rsidRDefault="00887060" w:rsidP="007422CB">
            <w:pPr>
              <w:pStyle w:val="Compact"/>
              <w:rPr>
                <w:sz w:val="20"/>
                <w:szCs w:val="20"/>
              </w:rPr>
            </w:pPr>
            <w:r w:rsidRPr="00887060">
              <w:rPr>
                <w:sz w:val="20"/>
                <w:szCs w:val="20"/>
              </w:rPr>
              <w:t xml:space="preserve">   </w:t>
            </w:r>
            <w:r w:rsidRPr="00887060">
              <w:rPr>
                <w:sz w:val="20"/>
                <w:szCs w:val="20"/>
              </w:rPr>
              <w:t>No Asthma</w:t>
            </w:r>
          </w:p>
        </w:tc>
        <w:tc>
          <w:tcPr>
            <w:tcW w:w="0" w:type="auto"/>
            <w:tcBorders>
              <w:bottom w:val="single" w:sz="4" w:space="0" w:color="auto"/>
              <w:right w:val="single" w:sz="4" w:space="0" w:color="auto"/>
            </w:tcBorders>
          </w:tcPr>
          <w:p w14:paraId="3EAB9697" w14:textId="77777777" w:rsidR="00887060" w:rsidRPr="00887060" w:rsidRDefault="00887060" w:rsidP="007422CB">
            <w:pPr>
              <w:pStyle w:val="Compact"/>
              <w:jc w:val="center"/>
              <w:rPr>
                <w:sz w:val="20"/>
                <w:szCs w:val="20"/>
              </w:rPr>
            </w:pPr>
            <w:r w:rsidRPr="00887060">
              <w:rPr>
                <w:sz w:val="20"/>
                <w:szCs w:val="20"/>
              </w:rPr>
              <w:t>6,000 (90%)</w:t>
            </w:r>
          </w:p>
        </w:tc>
      </w:tr>
      <w:tr w:rsidR="00887060" w14:paraId="572A4D1A" w14:textId="77777777" w:rsidTr="00887060">
        <w:tc>
          <w:tcPr>
            <w:tcW w:w="0" w:type="auto"/>
            <w:tcBorders>
              <w:top w:val="single" w:sz="4" w:space="0" w:color="auto"/>
              <w:left w:val="single" w:sz="4" w:space="0" w:color="auto"/>
            </w:tcBorders>
          </w:tcPr>
          <w:p w14:paraId="054A911C" w14:textId="77777777" w:rsidR="00887060" w:rsidRPr="00887060" w:rsidRDefault="00887060" w:rsidP="007422CB">
            <w:pPr>
              <w:pStyle w:val="Compact"/>
              <w:rPr>
                <w:sz w:val="20"/>
                <w:szCs w:val="20"/>
              </w:rPr>
            </w:pPr>
            <w:r w:rsidRPr="00887060">
              <w:rPr>
                <w:sz w:val="20"/>
                <w:szCs w:val="20"/>
              </w:rPr>
              <w:t>Diabetes Status</w:t>
            </w:r>
          </w:p>
        </w:tc>
        <w:tc>
          <w:tcPr>
            <w:tcW w:w="0" w:type="auto"/>
            <w:tcBorders>
              <w:top w:val="single" w:sz="4" w:space="0" w:color="auto"/>
              <w:right w:val="single" w:sz="4" w:space="0" w:color="auto"/>
            </w:tcBorders>
          </w:tcPr>
          <w:p w14:paraId="18AD9B44" w14:textId="77777777" w:rsidR="00887060" w:rsidRPr="00887060" w:rsidRDefault="00887060" w:rsidP="007422CB">
            <w:pPr>
              <w:pStyle w:val="Compact"/>
              <w:rPr>
                <w:sz w:val="20"/>
                <w:szCs w:val="20"/>
              </w:rPr>
            </w:pPr>
          </w:p>
        </w:tc>
      </w:tr>
      <w:tr w:rsidR="00887060" w14:paraId="4E0A91A8" w14:textId="77777777" w:rsidTr="00887060">
        <w:tc>
          <w:tcPr>
            <w:tcW w:w="0" w:type="auto"/>
            <w:tcBorders>
              <w:left w:val="single" w:sz="4" w:space="0" w:color="auto"/>
            </w:tcBorders>
          </w:tcPr>
          <w:p w14:paraId="0CDCD0A4" w14:textId="0FA2DCA1" w:rsidR="00887060" w:rsidRPr="00887060" w:rsidRDefault="00887060" w:rsidP="007422CB">
            <w:pPr>
              <w:pStyle w:val="Compact"/>
              <w:rPr>
                <w:sz w:val="20"/>
                <w:szCs w:val="20"/>
              </w:rPr>
            </w:pPr>
            <w:r w:rsidRPr="00887060">
              <w:rPr>
                <w:sz w:val="20"/>
                <w:szCs w:val="20"/>
              </w:rPr>
              <w:t xml:space="preserve">   </w:t>
            </w:r>
            <w:r w:rsidRPr="00887060">
              <w:rPr>
                <w:sz w:val="20"/>
                <w:szCs w:val="20"/>
              </w:rPr>
              <w:t>Diabetes</w:t>
            </w:r>
          </w:p>
        </w:tc>
        <w:tc>
          <w:tcPr>
            <w:tcW w:w="0" w:type="auto"/>
            <w:tcBorders>
              <w:right w:val="single" w:sz="4" w:space="0" w:color="auto"/>
            </w:tcBorders>
          </w:tcPr>
          <w:p w14:paraId="0E3CD02A" w14:textId="77777777" w:rsidR="00887060" w:rsidRPr="00887060" w:rsidRDefault="00887060" w:rsidP="007422CB">
            <w:pPr>
              <w:pStyle w:val="Compact"/>
              <w:jc w:val="center"/>
              <w:rPr>
                <w:sz w:val="20"/>
                <w:szCs w:val="20"/>
              </w:rPr>
            </w:pPr>
            <w:r w:rsidRPr="00887060">
              <w:rPr>
                <w:sz w:val="20"/>
                <w:szCs w:val="20"/>
              </w:rPr>
              <w:t>164 (2.4%)</w:t>
            </w:r>
          </w:p>
        </w:tc>
      </w:tr>
      <w:tr w:rsidR="00887060" w14:paraId="11791D2F" w14:textId="77777777" w:rsidTr="00887060">
        <w:tc>
          <w:tcPr>
            <w:tcW w:w="0" w:type="auto"/>
            <w:tcBorders>
              <w:left w:val="single" w:sz="4" w:space="0" w:color="auto"/>
              <w:bottom w:val="single" w:sz="4" w:space="0" w:color="auto"/>
            </w:tcBorders>
          </w:tcPr>
          <w:p w14:paraId="0682AEEE" w14:textId="34101408" w:rsidR="00887060" w:rsidRPr="00887060" w:rsidRDefault="00887060" w:rsidP="007422CB">
            <w:pPr>
              <w:pStyle w:val="Compact"/>
              <w:rPr>
                <w:sz w:val="20"/>
                <w:szCs w:val="20"/>
              </w:rPr>
            </w:pPr>
            <w:r w:rsidRPr="00887060">
              <w:rPr>
                <w:sz w:val="20"/>
                <w:szCs w:val="20"/>
              </w:rPr>
              <w:t xml:space="preserve">   </w:t>
            </w:r>
            <w:r w:rsidRPr="00887060">
              <w:rPr>
                <w:sz w:val="20"/>
                <w:szCs w:val="20"/>
              </w:rPr>
              <w:t>No Diabetes</w:t>
            </w:r>
          </w:p>
        </w:tc>
        <w:tc>
          <w:tcPr>
            <w:tcW w:w="0" w:type="auto"/>
            <w:tcBorders>
              <w:bottom w:val="single" w:sz="4" w:space="0" w:color="auto"/>
              <w:right w:val="single" w:sz="4" w:space="0" w:color="auto"/>
            </w:tcBorders>
          </w:tcPr>
          <w:p w14:paraId="5E7D8C38" w14:textId="77777777" w:rsidR="00887060" w:rsidRPr="00887060" w:rsidRDefault="00887060" w:rsidP="007422CB">
            <w:pPr>
              <w:pStyle w:val="Compact"/>
              <w:jc w:val="center"/>
              <w:rPr>
                <w:sz w:val="20"/>
                <w:szCs w:val="20"/>
              </w:rPr>
            </w:pPr>
            <w:r w:rsidRPr="00887060">
              <w:rPr>
                <w:sz w:val="20"/>
                <w:szCs w:val="20"/>
              </w:rPr>
              <w:t>6,539 (98%)</w:t>
            </w:r>
          </w:p>
        </w:tc>
      </w:tr>
      <w:tr w:rsidR="00887060" w14:paraId="16A8FEB5" w14:textId="77777777" w:rsidTr="00887060">
        <w:tc>
          <w:tcPr>
            <w:tcW w:w="0" w:type="auto"/>
            <w:tcBorders>
              <w:top w:val="single" w:sz="4" w:space="0" w:color="auto"/>
              <w:left w:val="single" w:sz="4" w:space="0" w:color="auto"/>
            </w:tcBorders>
          </w:tcPr>
          <w:p w14:paraId="6E614992" w14:textId="77777777" w:rsidR="00887060" w:rsidRPr="00887060" w:rsidRDefault="00887060" w:rsidP="007422CB">
            <w:pPr>
              <w:pStyle w:val="Compact"/>
              <w:rPr>
                <w:sz w:val="20"/>
                <w:szCs w:val="20"/>
              </w:rPr>
            </w:pPr>
            <w:r w:rsidRPr="00887060">
              <w:rPr>
                <w:sz w:val="20"/>
                <w:szCs w:val="20"/>
              </w:rPr>
              <w:lastRenderedPageBreak/>
              <w:t>Smoking Status</w:t>
            </w:r>
          </w:p>
        </w:tc>
        <w:tc>
          <w:tcPr>
            <w:tcW w:w="0" w:type="auto"/>
            <w:tcBorders>
              <w:top w:val="single" w:sz="4" w:space="0" w:color="auto"/>
              <w:right w:val="single" w:sz="4" w:space="0" w:color="auto"/>
            </w:tcBorders>
          </w:tcPr>
          <w:p w14:paraId="25505A68" w14:textId="77777777" w:rsidR="00887060" w:rsidRPr="00887060" w:rsidRDefault="00887060" w:rsidP="007422CB">
            <w:pPr>
              <w:pStyle w:val="Compact"/>
              <w:rPr>
                <w:sz w:val="20"/>
                <w:szCs w:val="20"/>
              </w:rPr>
            </w:pPr>
          </w:p>
        </w:tc>
      </w:tr>
      <w:tr w:rsidR="00887060" w14:paraId="12E21D4B" w14:textId="77777777" w:rsidTr="00887060">
        <w:tc>
          <w:tcPr>
            <w:tcW w:w="0" w:type="auto"/>
            <w:tcBorders>
              <w:left w:val="single" w:sz="4" w:space="0" w:color="auto"/>
            </w:tcBorders>
          </w:tcPr>
          <w:p w14:paraId="6C401EB2" w14:textId="17700053" w:rsidR="00887060" w:rsidRPr="00887060" w:rsidRDefault="00887060" w:rsidP="007422CB">
            <w:pPr>
              <w:pStyle w:val="Compact"/>
              <w:rPr>
                <w:sz w:val="20"/>
                <w:szCs w:val="20"/>
              </w:rPr>
            </w:pPr>
            <w:r w:rsidRPr="00887060">
              <w:rPr>
                <w:sz w:val="20"/>
                <w:szCs w:val="20"/>
              </w:rPr>
              <w:t xml:space="preserve">   </w:t>
            </w:r>
            <w:r w:rsidRPr="00887060">
              <w:rPr>
                <w:sz w:val="20"/>
                <w:szCs w:val="20"/>
              </w:rPr>
              <w:t>Ever Smoker</w:t>
            </w:r>
          </w:p>
        </w:tc>
        <w:tc>
          <w:tcPr>
            <w:tcW w:w="0" w:type="auto"/>
            <w:tcBorders>
              <w:right w:val="single" w:sz="4" w:space="0" w:color="auto"/>
            </w:tcBorders>
          </w:tcPr>
          <w:p w14:paraId="72E694A9" w14:textId="77777777" w:rsidR="00887060" w:rsidRPr="00887060" w:rsidRDefault="00887060" w:rsidP="007422CB">
            <w:pPr>
              <w:pStyle w:val="Compact"/>
              <w:jc w:val="center"/>
              <w:rPr>
                <w:sz w:val="20"/>
                <w:szCs w:val="20"/>
              </w:rPr>
            </w:pPr>
            <w:r w:rsidRPr="00887060">
              <w:rPr>
                <w:sz w:val="20"/>
                <w:szCs w:val="20"/>
              </w:rPr>
              <w:t>196 (2.9%)</w:t>
            </w:r>
          </w:p>
        </w:tc>
      </w:tr>
      <w:tr w:rsidR="00887060" w14:paraId="5F1072E3" w14:textId="77777777" w:rsidTr="00887060">
        <w:tc>
          <w:tcPr>
            <w:tcW w:w="0" w:type="auto"/>
            <w:tcBorders>
              <w:left w:val="single" w:sz="4" w:space="0" w:color="auto"/>
              <w:bottom w:val="single" w:sz="4" w:space="0" w:color="auto"/>
            </w:tcBorders>
          </w:tcPr>
          <w:p w14:paraId="078A9081" w14:textId="54FD42AA" w:rsidR="00887060" w:rsidRPr="00887060" w:rsidRDefault="00887060" w:rsidP="007422CB">
            <w:pPr>
              <w:pStyle w:val="Compact"/>
              <w:rPr>
                <w:sz w:val="20"/>
                <w:szCs w:val="20"/>
              </w:rPr>
            </w:pPr>
            <w:r w:rsidRPr="00887060">
              <w:rPr>
                <w:sz w:val="20"/>
                <w:szCs w:val="20"/>
              </w:rPr>
              <w:t xml:space="preserve">   </w:t>
            </w:r>
            <w:r w:rsidRPr="00887060">
              <w:rPr>
                <w:sz w:val="20"/>
                <w:szCs w:val="20"/>
              </w:rPr>
              <w:t>Non-Smoker</w:t>
            </w:r>
          </w:p>
        </w:tc>
        <w:tc>
          <w:tcPr>
            <w:tcW w:w="0" w:type="auto"/>
            <w:tcBorders>
              <w:bottom w:val="single" w:sz="4" w:space="0" w:color="auto"/>
              <w:right w:val="single" w:sz="4" w:space="0" w:color="auto"/>
            </w:tcBorders>
          </w:tcPr>
          <w:p w14:paraId="69D65890" w14:textId="77777777" w:rsidR="00887060" w:rsidRPr="00887060" w:rsidRDefault="00887060" w:rsidP="007422CB">
            <w:pPr>
              <w:pStyle w:val="Compact"/>
              <w:jc w:val="center"/>
              <w:rPr>
                <w:sz w:val="20"/>
                <w:szCs w:val="20"/>
              </w:rPr>
            </w:pPr>
            <w:r w:rsidRPr="00887060">
              <w:rPr>
                <w:sz w:val="20"/>
                <w:szCs w:val="20"/>
              </w:rPr>
              <w:t>6,507 (97%)</w:t>
            </w:r>
          </w:p>
        </w:tc>
      </w:tr>
      <w:tr w:rsidR="00887060" w14:paraId="381FF4D5" w14:textId="77777777" w:rsidTr="00887060">
        <w:tc>
          <w:tcPr>
            <w:tcW w:w="0" w:type="auto"/>
            <w:tcBorders>
              <w:top w:val="single" w:sz="4" w:space="0" w:color="auto"/>
              <w:left w:val="single" w:sz="4" w:space="0" w:color="auto"/>
            </w:tcBorders>
          </w:tcPr>
          <w:p w14:paraId="151461DB" w14:textId="77777777" w:rsidR="00887060" w:rsidRPr="00887060" w:rsidRDefault="00887060" w:rsidP="007422CB">
            <w:pPr>
              <w:pStyle w:val="Compact"/>
              <w:rPr>
                <w:sz w:val="20"/>
                <w:szCs w:val="20"/>
              </w:rPr>
            </w:pPr>
            <w:r w:rsidRPr="00887060">
              <w:rPr>
                <w:sz w:val="20"/>
                <w:szCs w:val="20"/>
              </w:rPr>
              <w:t>Date of Delivery</w:t>
            </w:r>
          </w:p>
        </w:tc>
        <w:tc>
          <w:tcPr>
            <w:tcW w:w="0" w:type="auto"/>
            <w:tcBorders>
              <w:top w:val="single" w:sz="4" w:space="0" w:color="auto"/>
              <w:right w:val="single" w:sz="4" w:space="0" w:color="auto"/>
            </w:tcBorders>
          </w:tcPr>
          <w:p w14:paraId="49FADDE8" w14:textId="77777777" w:rsidR="00887060" w:rsidRPr="00887060" w:rsidRDefault="00887060" w:rsidP="007422CB">
            <w:pPr>
              <w:pStyle w:val="Compact"/>
              <w:rPr>
                <w:sz w:val="20"/>
                <w:szCs w:val="20"/>
              </w:rPr>
            </w:pPr>
          </w:p>
        </w:tc>
      </w:tr>
      <w:tr w:rsidR="00887060" w14:paraId="29774C50" w14:textId="77777777" w:rsidTr="00887060">
        <w:tc>
          <w:tcPr>
            <w:tcW w:w="0" w:type="auto"/>
            <w:tcBorders>
              <w:left w:val="single" w:sz="4" w:space="0" w:color="auto"/>
            </w:tcBorders>
          </w:tcPr>
          <w:p w14:paraId="3D006A44" w14:textId="531F0336" w:rsidR="00887060" w:rsidRPr="00887060" w:rsidRDefault="00887060" w:rsidP="007422CB">
            <w:pPr>
              <w:pStyle w:val="Compact"/>
              <w:rPr>
                <w:sz w:val="20"/>
                <w:szCs w:val="20"/>
              </w:rPr>
            </w:pPr>
            <w:r w:rsidRPr="00887060">
              <w:rPr>
                <w:sz w:val="20"/>
                <w:szCs w:val="20"/>
              </w:rPr>
              <w:t xml:space="preserve">   </w:t>
            </w:r>
            <w:r>
              <w:rPr>
                <w:sz w:val="20"/>
                <w:szCs w:val="20"/>
              </w:rPr>
              <w:t>Wave 1 (</w:t>
            </w:r>
            <w:r w:rsidRPr="00887060">
              <w:rPr>
                <w:sz w:val="20"/>
                <w:szCs w:val="20"/>
              </w:rPr>
              <w:t>March 2020 - June 2020</w:t>
            </w:r>
            <w:r>
              <w:rPr>
                <w:sz w:val="20"/>
                <w:szCs w:val="20"/>
              </w:rPr>
              <w:t>)</w:t>
            </w:r>
          </w:p>
        </w:tc>
        <w:tc>
          <w:tcPr>
            <w:tcW w:w="0" w:type="auto"/>
            <w:tcBorders>
              <w:right w:val="single" w:sz="4" w:space="0" w:color="auto"/>
            </w:tcBorders>
          </w:tcPr>
          <w:p w14:paraId="53F99934" w14:textId="77777777" w:rsidR="00887060" w:rsidRPr="00887060" w:rsidRDefault="00887060" w:rsidP="007422CB">
            <w:pPr>
              <w:pStyle w:val="Compact"/>
              <w:jc w:val="center"/>
              <w:rPr>
                <w:sz w:val="20"/>
                <w:szCs w:val="20"/>
              </w:rPr>
            </w:pPr>
            <w:r w:rsidRPr="00887060">
              <w:rPr>
                <w:sz w:val="20"/>
                <w:szCs w:val="20"/>
              </w:rPr>
              <w:t>1,513 (23%)</w:t>
            </w:r>
          </w:p>
        </w:tc>
      </w:tr>
      <w:tr w:rsidR="00887060" w14:paraId="55AA268A" w14:textId="77777777" w:rsidTr="00887060">
        <w:tc>
          <w:tcPr>
            <w:tcW w:w="0" w:type="auto"/>
            <w:tcBorders>
              <w:left w:val="single" w:sz="4" w:space="0" w:color="auto"/>
            </w:tcBorders>
          </w:tcPr>
          <w:p w14:paraId="60B76C88" w14:textId="63D02C9C" w:rsidR="00887060" w:rsidRPr="00887060" w:rsidRDefault="00887060" w:rsidP="007422CB">
            <w:pPr>
              <w:pStyle w:val="Compact"/>
              <w:rPr>
                <w:sz w:val="20"/>
                <w:szCs w:val="20"/>
              </w:rPr>
            </w:pPr>
            <w:r w:rsidRPr="00887060">
              <w:rPr>
                <w:sz w:val="20"/>
                <w:szCs w:val="20"/>
              </w:rPr>
              <w:t xml:space="preserve">   </w:t>
            </w:r>
            <w:r>
              <w:rPr>
                <w:sz w:val="20"/>
                <w:szCs w:val="20"/>
              </w:rPr>
              <w:t>Wave 2 (</w:t>
            </w:r>
            <w:r w:rsidRPr="00887060">
              <w:rPr>
                <w:sz w:val="20"/>
                <w:szCs w:val="20"/>
              </w:rPr>
              <w:t>July 2020 - October 2020</w:t>
            </w:r>
            <w:r>
              <w:rPr>
                <w:sz w:val="20"/>
                <w:szCs w:val="20"/>
              </w:rPr>
              <w:t>)</w:t>
            </w:r>
          </w:p>
        </w:tc>
        <w:tc>
          <w:tcPr>
            <w:tcW w:w="0" w:type="auto"/>
            <w:tcBorders>
              <w:right w:val="single" w:sz="4" w:space="0" w:color="auto"/>
            </w:tcBorders>
          </w:tcPr>
          <w:p w14:paraId="77CB8494" w14:textId="77777777" w:rsidR="00887060" w:rsidRPr="00887060" w:rsidRDefault="00887060" w:rsidP="007422CB">
            <w:pPr>
              <w:pStyle w:val="Compact"/>
              <w:jc w:val="center"/>
              <w:rPr>
                <w:sz w:val="20"/>
                <w:szCs w:val="20"/>
              </w:rPr>
            </w:pPr>
            <w:r w:rsidRPr="00887060">
              <w:rPr>
                <w:sz w:val="20"/>
                <w:szCs w:val="20"/>
              </w:rPr>
              <w:t>2,578 (38%)</w:t>
            </w:r>
          </w:p>
        </w:tc>
      </w:tr>
      <w:tr w:rsidR="00887060" w14:paraId="55A0C1F6" w14:textId="77777777" w:rsidTr="00887060">
        <w:tc>
          <w:tcPr>
            <w:tcW w:w="0" w:type="auto"/>
            <w:tcBorders>
              <w:left w:val="single" w:sz="4" w:space="0" w:color="auto"/>
              <w:bottom w:val="single" w:sz="4" w:space="0" w:color="auto"/>
            </w:tcBorders>
          </w:tcPr>
          <w:p w14:paraId="7B9550E0" w14:textId="2A1A8DD0" w:rsidR="00887060" w:rsidRPr="00887060" w:rsidRDefault="00887060" w:rsidP="007422CB">
            <w:pPr>
              <w:pStyle w:val="Compact"/>
              <w:rPr>
                <w:sz w:val="20"/>
                <w:szCs w:val="20"/>
              </w:rPr>
            </w:pPr>
            <w:r w:rsidRPr="00887060">
              <w:rPr>
                <w:sz w:val="20"/>
                <w:szCs w:val="20"/>
              </w:rPr>
              <w:t xml:space="preserve">  </w:t>
            </w:r>
            <w:r>
              <w:rPr>
                <w:sz w:val="20"/>
                <w:szCs w:val="20"/>
              </w:rPr>
              <w:t xml:space="preserve"> Wave 3</w:t>
            </w:r>
            <w:r w:rsidRPr="00887060">
              <w:rPr>
                <w:sz w:val="20"/>
                <w:szCs w:val="20"/>
              </w:rPr>
              <w:t xml:space="preserve"> </w:t>
            </w:r>
            <w:r>
              <w:rPr>
                <w:sz w:val="20"/>
                <w:szCs w:val="20"/>
              </w:rPr>
              <w:t>(</w:t>
            </w:r>
            <w:r w:rsidRPr="00887060">
              <w:rPr>
                <w:sz w:val="20"/>
                <w:szCs w:val="20"/>
              </w:rPr>
              <w:t>November 2020 - Feb</w:t>
            </w:r>
            <w:r>
              <w:rPr>
                <w:sz w:val="20"/>
                <w:szCs w:val="20"/>
              </w:rPr>
              <w:t>ruary</w:t>
            </w:r>
            <w:r w:rsidRPr="00887060">
              <w:rPr>
                <w:sz w:val="20"/>
                <w:szCs w:val="20"/>
              </w:rPr>
              <w:t xml:space="preserve"> 2021</w:t>
            </w:r>
            <w:r>
              <w:rPr>
                <w:sz w:val="20"/>
                <w:szCs w:val="20"/>
              </w:rPr>
              <w:t>)</w:t>
            </w:r>
          </w:p>
        </w:tc>
        <w:tc>
          <w:tcPr>
            <w:tcW w:w="0" w:type="auto"/>
            <w:tcBorders>
              <w:bottom w:val="single" w:sz="4" w:space="0" w:color="auto"/>
              <w:right w:val="single" w:sz="4" w:space="0" w:color="auto"/>
            </w:tcBorders>
          </w:tcPr>
          <w:p w14:paraId="2A4C8BED" w14:textId="77777777" w:rsidR="00887060" w:rsidRPr="00887060" w:rsidRDefault="00887060" w:rsidP="007422CB">
            <w:pPr>
              <w:pStyle w:val="Compact"/>
              <w:jc w:val="center"/>
              <w:rPr>
                <w:sz w:val="20"/>
                <w:szCs w:val="20"/>
              </w:rPr>
            </w:pPr>
            <w:r w:rsidRPr="00887060">
              <w:rPr>
                <w:sz w:val="20"/>
                <w:szCs w:val="20"/>
              </w:rPr>
              <w:t>2,612 (39%)</w:t>
            </w:r>
          </w:p>
        </w:tc>
      </w:tr>
      <w:tr w:rsidR="00887060" w14:paraId="656C434A" w14:textId="77777777" w:rsidTr="00887060">
        <w:tc>
          <w:tcPr>
            <w:tcW w:w="0" w:type="auto"/>
            <w:tcBorders>
              <w:top w:val="single" w:sz="4" w:space="0" w:color="auto"/>
              <w:left w:val="single" w:sz="4" w:space="0" w:color="auto"/>
            </w:tcBorders>
          </w:tcPr>
          <w:p w14:paraId="133DE36B" w14:textId="77777777" w:rsidR="00887060" w:rsidRPr="00887060" w:rsidRDefault="00887060" w:rsidP="007422CB">
            <w:pPr>
              <w:pStyle w:val="Compact"/>
              <w:rPr>
                <w:sz w:val="20"/>
                <w:szCs w:val="20"/>
              </w:rPr>
            </w:pPr>
            <w:r w:rsidRPr="00887060">
              <w:rPr>
                <w:sz w:val="20"/>
                <w:szCs w:val="20"/>
              </w:rPr>
              <w:t>Average PM Score in Zip Code of Residence</w:t>
            </w:r>
          </w:p>
        </w:tc>
        <w:tc>
          <w:tcPr>
            <w:tcW w:w="0" w:type="auto"/>
            <w:tcBorders>
              <w:top w:val="single" w:sz="4" w:space="0" w:color="auto"/>
              <w:right w:val="single" w:sz="4" w:space="0" w:color="auto"/>
            </w:tcBorders>
          </w:tcPr>
          <w:p w14:paraId="484A4CAC" w14:textId="77777777" w:rsidR="00887060" w:rsidRPr="00887060" w:rsidRDefault="00887060" w:rsidP="007422CB">
            <w:pPr>
              <w:pStyle w:val="Compact"/>
              <w:jc w:val="center"/>
              <w:rPr>
                <w:sz w:val="20"/>
                <w:szCs w:val="20"/>
              </w:rPr>
            </w:pPr>
            <w:r w:rsidRPr="00887060">
              <w:rPr>
                <w:sz w:val="20"/>
                <w:szCs w:val="20"/>
              </w:rPr>
              <w:t>9.02 (8.30, 9.66)</w:t>
            </w:r>
          </w:p>
        </w:tc>
      </w:tr>
      <w:tr w:rsidR="00887060" w14:paraId="2F8D6414" w14:textId="77777777" w:rsidTr="00887060">
        <w:tc>
          <w:tcPr>
            <w:tcW w:w="0" w:type="auto"/>
            <w:tcBorders>
              <w:left w:val="single" w:sz="4" w:space="0" w:color="auto"/>
              <w:bottom w:val="single" w:sz="4" w:space="0" w:color="auto"/>
            </w:tcBorders>
          </w:tcPr>
          <w:p w14:paraId="055E61CD" w14:textId="2B77FFF7" w:rsidR="00887060" w:rsidRPr="00887060" w:rsidRDefault="00887060" w:rsidP="007422CB">
            <w:pPr>
              <w:pStyle w:val="Compact"/>
              <w:rPr>
                <w:sz w:val="20"/>
                <w:szCs w:val="20"/>
              </w:rPr>
            </w:pPr>
            <w:r w:rsidRPr="00887060">
              <w:rPr>
                <w:sz w:val="20"/>
                <w:szCs w:val="20"/>
              </w:rPr>
              <w:t xml:space="preserve">   </w:t>
            </w:r>
            <w:r w:rsidRPr="00887060">
              <w:rPr>
                <w:sz w:val="20"/>
                <w:szCs w:val="20"/>
              </w:rPr>
              <w:t>Unknown</w:t>
            </w:r>
          </w:p>
        </w:tc>
        <w:tc>
          <w:tcPr>
            <w:tcW w:w="0" w:type="auto"/>
            <w:tcBorders>
              <w:bottom w:val="single" w:sz="4" w:space="0" w:color="auto"/>
              <w:right w:val="single" w:sz="4" w:space="0" w:color="auto"/>
            </w:tcBorders>
          </w:tcPr>
          <w:p w14:paraId="10DAA8E0" w14:textId="77777777" w:rsidR="00887060" w:rsidRPr="00887060" w:rsidRDefault="00887060" w:rsidP="007422CB">
            <w:pPr>
              <w:pStyle w:val="Compact"/>
              <w:jc w:val="center"/>
              <w:rPr>
                <w:sz w:val="20"/>
                <w:szCs w:val="20"/>
              </w:rPr>
            </w:pPr>
            <w:r w:rsidRPr="00887060">
              <w:rPr>
                <w:sz w:val="20"/>
                <w:szCs w:val="20"/>
              </w:rPr>
              <w:t>2,328</w:t>
            </w:r>
          </w:p>
        </w:tc>
      </w:tr>
      <w:tr w:rsidR="00887060" w14:paraId="36112AB7" w14:textId="77777777" w:rsidTr="00887060">
        <w:tc>
          <w:tcPr>
            <w:tcW w:w="0" w:type="auto"/>
            <w:tcBorders>
              <w:top w:val="single" w:sz="4" w:space="0" w:color="auto"/>
              <w:left w:val="single" w:sz="4" w:space="0" w:color="auto"/>
            </w:tcBorders>
          </w:tcPr>
          <w:p w14:paraId="5E4530C6" w14:textId="77777777" w:rsidR="00887060" w:rsidRPr="00887060" w:rsidRDefault="00887060" w:rsidP="007422CB">
            <w:pPr>
              <w:pStyle w:val="Compact"/>
              <w:rPr>
                <w:sz w:val="20"/>
                <w:szCs w:val="20"/>
              </w:rPr>
            </w:pPr>
            <w:r w:rsidRPr="00887060">
              <w:rPr>
                <w:sz w:val="20"/>
                <w:szCs w:val="20"/>
              </w:rPr>
              <w:t>NEVI in Zip Code of Residence</w:t>
            </w:r>
          </w:p>
        </w:tc>
        <w:tc>
          <w:tcPr>
            <w:tcW w:w="0" w:type="auto"/>
            <w:tcBorders>
              <w:top w:val="single" w:sz="4" w:space="0" w:color="auto"/>
              <w:right w:val="single" w:sz="4" w:space="0" w:color="auto"/>
            </w:tcBorders>
          </w:tcPr>
          <w:p w14:paraId="1F6D1025" w14:textId="77777777" w:rsidR="00887060" w:rsidRPr="00887060" w:rsidRDefault="00887060" w:rsidP="007422CB">
            <w:pPr>
              <w:pStyle w:val="Compact"/>
              <w:jc w:val="center"/>
              <w:rPr>
                <w:sz w:val="20"/>
                <w:szCs w:val="20"/>
              </w:rPr>
            </w:pPr>
            <w:r w:rsidRPr="00887060">
              <w:rPr>
                <w:sz w:val="20"/>
                <w:szCs w:val="20"/>
              </w:rPr>
              <w:t>0.35 (0.31, 0.41)</w:t>
            </w:r>
          </w:p>
        </w:tc>
      </w:tr>
      <w:tr w:rsidR="00887060" w14:paraId="4F73596A" w14:textId="77777777" w:rsidTr="00887060">
        <w:tc>
          <w:tcPr>
            <w:tcW w:w="0" w:type="auto"/>
            <w:tcBorders>
              <w:left w:val="single" w:sz="4" w:space="0" w:color="auto"/>
              <w:bottom w:val="single" w:sz="4" w:space="0" w:color="auto"/>
            </w:tcBorders>
          </w:tcPr>
          <w:p w14:paraId="4BA08F10" w14:textId="5D0960DE" w:rsidR="00887060" w:rsidRPr="00887060" w:rsidRDefault="00887060" w:rsidP="007422CB">
            <w:pPr>
              <w:pStyle w:val="Compact"/>
              <w:rPr>
                <w:sz w:val="20"/>
                <w:szCs w:val="20"/>
              </w:rPr>
            </w:pPr>
            <w:r w:rsidRPr="00887060">
              <w:rPr>
                <w:sz w:val="20"/>
                <w:szCs w:val="20"/>
              </w:rPr>
              <w:t xml:space="preserve">   </w:t>
            </w:r>
            <w:r w:rsidRPr="00887060">
              <w:rPr>
                <w:sz w:val="20"/>
                <w:szCs w:val="20"/>
              </w:rPr>
              <w:t>Unknown</w:t>
            </w:r>
          </w:p>
        </w:tc>
        <w:tc>
          <w:tcPr>
            <w:tcW w:w="0" w:type="auto"/>
            <w:tcBorders>
              <w:bottom w:val="single" w:sz="4" w:space="0" w:color="auto"/>
              <w:right w:val="single" w:sz="4" w:space="0" w:color="auto"/>
            </w:tcBorders>
          </w:tcPr>
          <w:p w14:paraId="699D37D2" w14:textId="77777777" w:rsidR="00887060" w:rsidRPr="00887060" w:rsidRDefault="00887060" w:rsidP="007422CB">
            <w:pPr>
              <w:pStyle w:val="Compact"/>
              <w:jc w:val="center"/>
              <w:rPr>
                <w:sz w:val="20"/>
                <w:szCs w:val="20"/>
              </w:rPr>
            </w:pPr>
            <w:r w:rsidRPr="00887060">
              <w:rPr>
                <w:sz w:val="20"/>
                <w:szCs w:val="20"/>
              </w:rPr>
              <w:t>2,361</w:t>
            </w:r>
          </w:p>
        </w:tc>
      </w:tr>
      <w:tr w:rsidR="00887060" w14:paraId="32C5E680" w14:textId="77777777" w:rsidTr="00887060">
        <w:tc>
          <w:tcPr>
            <w:tcW w:w="0" w:type="auto"/>
            <w:tcBorders>
              <w:top w:val="single" w:sz="4" w:space="0" w:color="auto"/>
              <w:left w:val="single" w:sz="4" w:space="0" w:color="auto"/>
            </w:tcBorders>
          </w:tcPr>
          <w:p w14:paraId="173A2774" w14:textId="77777777" w:rsidR="00887060" w:rsidRPr="00887060" w:rsidRDefault="00887060" w:rsidP="007422CB">
            <w:pPr>
              <w:pStyle w:val="Compact"/>
              <w:rPr>
                <w:sz w:val="20"/>
                <w:szCs w:val="20"/>
              </w:rPr>
            </w:pPr>
            <w:r w:rsidRPr="00887060">
              <w:rPr>
                <w:sz w:val="20"/>
                <w:szCs w:val="20"/>
              </w:rPr>
              <w:t>Quartiles of Average PM Score</w:t>
            </w:r>
          </w:p>
        </w:tc>
        <w:tc>
          <w:tcPr>
            <w:tcW w:w="0" w:type="auto"/>
            <w:tcBorders>
              <w:top w:val="single" w:sz="4" w:space="0" w:color="auto"/>
              <w:right w:val="single" w:sz="4" w:space="0" w:color="auto"/>
            </w:tcBorders>
          </w:tcPr>
          <w:p w14:paraId="2D084EDB" w14:textId="77777777" w:rsidR="00887060" w:rsidRPr="00887060" w:rsidRDefault="00887060" w:rsidP="007422CB">
            <w:pPr>
              <w:pStyle w:val="Compact"/>
              <w:rPr>
                <w:sz w:val="20"/>
                <w:szCs w:val="20"/>
              </w:rPr>
            </w:pPr>
          </w:p>
        </w:tc>
      </w:tr>
      <w:tr w:rsidR="00887060" w14:paraId="543079F3" w14:textId="77777777" w:rsidTr="00887060">
        <w:tc>
          <w:tcPr>
            <w:tcW w:w="0" w:type="auto"/>
            <w:tcBorders>
              <w:left w:val="single" w:sz="4" w:space="0" w:color="auto"/>
            </w:tcBorders>
          </w:tcPr>
          <w:p w14:paraId="6D288627" w14:textId="3D931DDA" w:rsidR="00887060" w:rsidRPr="00887060" w:rsidRDefault="00887060" w:rsidP="007422CB">
            <w:pPr>
              <w:pStyle w:val="Compact"/>
              <w:rPr>
                <w:sz w:val="20"/>
                <w:szCs w:val="20"/>
              </w:rPr>
            </w:pPr>
            <w:r w:rsidRPr="00887060">
              <w:rPr>
                <w:sz w:val="20"/>
                <w:szCs w:val="20"/>
              </w:rPr>
              <w:t xml:space="preserve">   </w:t>
            </w:r>
            <w:r w:rsidRPr="00887060">
              <w:rPr>
                <w:sz w:val="20"/>
                <w:szCs w:val="20"/>
              </w:rPr>
              <w:t>1</w:t>
            </w:r>
          </w:p>
        </w:tc>
        <w:tc>
          <w:tcPr>
            <w:tcW w:w="0" w:type="auto"/>
            <w:tcBorders>
              <w:right w:val="single" w:sz="4" w:space="0" w:color="auto"/>
            </w:tcBorders>
          </w:tcPr>
          <w:p w14:paraId="46AF7536" w14:textId="77777777" w:rsidR="00887060" w:rsidRPr="00887060" w:rsidRDefault="00887060" w:rsidP="007422CB">
            <w:pPr>
              <w:pStyle w:val="Compact"/>
              <w:jc w:val="center"/>
              <w:rPr>
                <w:sz w:val="20"/>
                <w:szCs w:val="20"/>
              </w:rPr>
            </w:pPr>
            <w:r w:rsidRPr="00887060">
              <w:rPr>
                <w:sz w:val="20"/>
                <w:szCs w:val="20"/>
              </w:rPr>
              <w:t>1,094 (25%)</w:t>
            </w:r>
          </w:p>
        </w:tc>
      </w:tr>
      <w:tr w:rsidR="00887060" w14:paraId="70C93429" w14:textId="77777777" w:rsidTr="00887060">
        <w:tc>
          <w:tcPr>
            <w:tcW w:w="0" w:type="auto"/>
            <w:tcBorders>
              <w:left w:val="single" w:sz="4" w:space="0" w:color="auto"/>
            </w:tcBorders>
          </w:tcPr>
          <w:p w14:paraId="62C3373E" w14:textId="19057CCF" w:rsidR="00887060" w:rsidRPr="00887060" w:rsidRDefault="00887060" w:rsidP="007422CB">
            <w:pPr>
              <w:pStyle w:val="Compact"/>
              <w:rPr>
                <w:sz w:val="20"/>
                <w:szCs w:val="20"/>
              </w:rPr>
            </w:pPr>
            <w:r w:rsidRPr="00887060">
              <w:rPr>
                <w:sz w:val="20"/>
                <w:szCs w:val="20"/>
              </w:rPr>
              <w:t xml:space="preserve">   </w:t>
            </w:r>
            <w:r w:rsidRPr="00887060">
              <w:rPr>
                <w:sz w:val="20"/>
                <w:szCs w:val="20"/>
              </w:rPr>
              <w:t>2</w:t>
            </w:r>
          </w:p>
        </w:tc>
        <w:tc>
          <w:tcPr>
            <w:tcW w:w="0" w:type="auto"/>
            <w:tcBorders>
              <w:right w:val="single" w:sz="4" w:space="0" w:color="auto"/>
            </w:tcBorders>
          </w:tcPr>
          <w:p w14:paraId="762B28CD" w14:textId="77777777" w:rsidR="00887060" w:rsidRPr="00887060" w:rsidRDefault="00887060" w:rsidP="007422CB">
            <w:pPr>
              <w:pStyle w:val="Compact"/>
              <w:jc w:val="center"/>
              <w:rPr>
                <w:sz w:val="20"/>
                <w:szCs w:val="20"/>
              </w:rPr>
            </w:pPr>
            <w:r w:rsidRPr="00887060">
              <w:rPr>
                <w:sz w:val="20"/>
                <w:szCs w:val="20"/>
              </w:rPr>
              <w:t>1,094 (25%)</w:t>
            </w:r>
          </w:p>
        </w:tc>
      </w:tr>
      <w:tr w:rsidR="00887060" w14:paraId="08743511" w14:textId="77777777" w:rsidTr="00887060">
        <w:tc>
          <w:tcPr>
            <w:tcW w:w="0" w:type="auto"/>
            <w:tcBorders>
              <w:left w:val="single" w:sz="4" w:space="0" w:color="auto"/>
            </w:tcBorders>
          </w:tcPr>
          <w:p w14:paraId="71E2F41D" w14:textId="355A4A0D" w:rsidR="00887060" w:rsidRPr="00887060" w:rsidRDefault="00887060" w:rsidP="007422CB">
            <w:pPr>
              <w:pStyle w:val="Compact"/>
              <w:rPr>
                <w:sz w:val="20"/>
                <w:szCs w:val="20"/>
              </w:rPr>
            </w:pPr>
            <w:r w:rsidRPr="00887060">
              <w:rPr>
                <w:sz w:val="20"/>
                <w:szCs w:val="20"/>
              </w:rPr>
              <w:t xml:space="preserve">   </w:t>
            </w:r>
            <w:r w:rsidRPr="00887060">
              <w:rPr>
                <w:sz w:val="20"/>
                <w:szCs w:val="20"/>
              </w:rPr>
              <w:t>3</w:t>
            </w:r>
          </w:p>
        </w:tc>
        <w:tc>
          <w:tcPr>
            <w:tcW w:w="0" w:type="auto"/>
            <w:tcBorders>
              <w:right w:val="single" w:sz="4" w:space="0" w:color="auto"/>
            </w:tcBorders>
          </w:tcPr>
          <w:p w14:paraId="2ABBFA0B" w14:textId="77777777" w:rsidR="00887060" w:rsidRPr="00887060" w:rsidRDefault="00887060" w:rsidP="007422CB">
            <w:pPr>
              <w:pStyle w:val="Compact"/>
              <w:jc w:val="center"/>
              <w:rPr>
                <w:sz w:val="20"/>
                <w:szCs w:val="20"/>
              </w:rPr>
            </w:pPr>
            <w:r w:rsidRPr="00887060">
              <w:rPr>
                <w:sz w:val="20"/>
                <w:szCs w:val="20"/>
              </w:rPr>
              <w:t>1,094 (25%)</w:t>
            </w:r>
          </w:p>
        </w:tc>
      </w:tr>
      <w:tr w:rsidR="00887060" w14:paraId="694BB6FE" w14:textId="77777777" w:rsidTr="00887060">
        <w:tc>
          <w:tcPr>
            <w:tcW w:w="0" w:type="auto"/>
            <w:tcBorders>
              <w:left w:val="single" w:sz="4" w:space="0" w:color="auto"/>
            </w:tcBorders>
          </w:tcPr>
          <w:p w14:paraId="6D248213" w14:textId="63F6A4F3" w:rsidR="00887060" w:rsidRPr="00887060" w:rsidRDefault="00887060" w:rsidP="007422CB">
            <w:pPr>
              <w:pStyle w:val="Compact"/>
              <w:rPr>
                <w:sz w:val="20"/>
                <w:szCs w:val="20"/>
              </w:rPr>
            </w:pPr>
            <w:r w:rsidRPr="00887060">
              <w:rPr>
                <w:sz w:val="20"/>
                <w:szCs w:val="20"/>
              </w:rPr>
              <w:t xml:space="preserve">   </w:t>
            </w:r>
            <w:r w:rsidRPr="00887060">
              <w:rPr>
                <w:sz w:val="20"/>
                <w:szCs w:val="20"/>
              </w:rPr>
              <w:t>4</w:t>
            </w:r>
          </w:p>
        </w:tc>
        <w:tc>
          <w:tcPr>
            <w:tcW w:w="0" w:type="auto"/>
            <w:tcBorders>
              <w:right w:val="single" w:sz="4" w:space="0" w:color="auto"/>
            </w:tcBorders>
          </w:tcPr>
          <w:p w14:paraId="2C9EF5E2" w14:textId="77777777" w:rsidR="00887060" w:rsidRPr="00887060" w:rsidRDefault="00887060" w:rsidP="007422CB">
            <w:pPr>
              <w:pStyle w:val="Compact"/>
              <w:jc w:val="center"/>
              <w:rPr>
                <w:sz w:val="20"/>
                <w:szCs w:val="20"/>
              </w:rPr>
            </w:pPr>
            <w:r w:rsidRPr="00887060">
              <w:rPr>
                <w:sz w:val="20"/>
                <w:szCs w:val="20"/>
              </w:rPr>
              <w:t>1,093 (25%)</w:t>
            </w:r>
          </w:p>
        </w:tc>
      </w:tr>
      <w:tr w:rsidR="00887060" w14:paraId="7206FB08" w14:textId="77777777" w:rsidTr="002A4DC2">
        <w:tc>
          <w:tcPr>
            <w:tcW w:w="0" w:type="auto"/>
            <w:tcBorders>
              <w:left w:val="single" w:sz="4" w:space="0" w:color="auto"/>
              <w:bottom w:val="single" w:sz="4" w:space="0" w:color="auto"/>
            </w:tcBorders>
          </w:tcPr>
          <w:p w14:paraId="18B80A96" w14:textId="71B2AA79" w:rsidR="00887060" w:rsidRPr="00887060" w:rsidRDefault="00887060" w:rsidP="007422CB">
            <w:pPr>
              <w:pStyle w:val="Compact"/>
              <w:rPr>
                <w:sz w:val="20"/>
                <w:szCs w:val="20"/>
              </w:rPr>
            </w:pPr>
            <w:r w:rsidRPr="00887060">
              <w:rPr>
                <w:sz w:val="20"/>
                <w:szCs w:val="20"/>
              </w:rPr>
              <w:t xml:space="preserve">   </w:t>
            </w:r>
            <w:r w:rsidRPr="00887060">
              <w:rPr>
                <w:sz w:val="20"/>
                <w:szCs w:val="20"/>
              </w:rPr>
              <w:t>Unknown</w:t>
            </w:r>
          </w:p>
        </w:tc>
        <w:tc>
          <w:tcPr>
            <w:tcW w:w="0" w:type="auto"/>
            <w:tcBorders>
              <w:bottom w:val="single" w:sz="4" w:space="0" w:color="auto"/>
              <w:right w:val="single" w:sz="4" w:space="0" w:color="auto"/>
            </w:tcBorders>
          </w:tcPr>
          <w:p w14:paraId="677AEDF0" w14:textId="77777777" w:rsidR="00887060" w:rsidRPr="00887060" w:rsidRDefault="00887060" w:rsidP="007422CB">
            <w:pPr>
              <w:pStyle w:val="Compact"/>
              <w:jc w:val="center"/>
              <w:rPr>
                <w:sz w:val="20"/>
                <w:szCs w:val="20"/>
              </w:rPr>
            </w:pPr>
            <w:r w:rsidRPr="00887060">
              <w:rPr>
                <w:sz w:val="20"/>
                <w:szCs w:val="20"/>
              </w:rPr>
              <w:t>2,328</w:t>
            </w:r>
          </w:p>
        </w:tc>
      </w:tr>
      <w:tr w:rsidR="002A4DC2" w14:paraId="6637B7B3" w14:textId="77777777" w:rsidTr="002A4DC2">
        <w:tc>
          <w:tcPr>
            <w:tcW w:w="0" w:type="auto"/>
            <w:tcBorders>
              <w:top w:val="single" w:sz="4" w:space="0" w:color="auto"/>
            </w:tcBorders>
          </w:tcPr>
          <w:p w14:paraId="671C00C5" w14:textId="42579ACC" w:rsidR="002A4DC2" w:rsidRPr="00887060" w:rsidRDefault="002A4DC2" w:rsidP="007422CB">
            <w:pPr>
              <w:pStyle w:val="Compact"/>
              <w:rPr>
                <w:sz w:val="20"/>
                <w:szCs w:val="20"/>
              </w:rPr>
            </w:pPr>
            <w:r w:rsidRPr="002A4DC2">
              <w:rPr>
                <w:sz w:val="18"/>
                <w:szCs w:val="18"/>
                <w:vertAlign w:val="superscript"/>
              </w:rPr>
              <w:t>1</w:t>
            </w:r>
            <w:r w:rsidRPr="002A4DC2">
              <w:rPr>
                <w:sz w:val="18"/>
                <w:szCs w:val="18"/>
              </w:rPr>
              <w:t>Median (IQR) or Frequency (%)</w:t>
            </w:r>
          </w:p>
        </w:tc>
        <w:tc>
          <w:tcPr>
            <w:tcW w:w="0" w:type="auto"/>
            <w:tcBorders>
              <w:top w:val="single" w:sz="4" w:space="0" w:color="auto"/>
            </w:tcBorders>
          </w:tcPr>
          <w:p w14:paraId="38566A45" w14:textId="77777777" w:rsidR="002A4DC2" w:rsidRPr="00887060" w:rsidRDefault="002A4DC2" w:rsidP="007422CB">
            <w:pPr>
              <w:pStyle w:val="Compact"/>
              <w:jc w:val="center"/>
              <w:rPr>
                <w:sz w:val="20"/>
                <w:szCs w:val="20"/>
              </w:rPr>
            </w:pPr>
          </w:p>
        </w:tc>
      </w:tr>
    </w:tbl>
    <w:p w14:paraId="33A595B0" w14:textId="77777777" w:rsidR="00C55044" w:rsidRDefault="00C55044" w:rsidP="002558A4">
      <w:pPr>
        <w:rPr>
          <w:rFonts w:ascii="Times New Roman" w:hAnsi="Times New Roman" w:cs="Times New Roman"/>
          <w:sz w:val="24"/>
          <w:szCs w:val="24"/>
        </w:rPr>
      </w:pPr>
    </w:p>
    <w:p w14:paraId="3116E564" w14:textId="17F558F8" w:rsidR="00887060" w:rsidRDefault="00887060" w:rsidP="00887060">
      <w:pPr>
        <w:pStyle w:val="TableCaption"/>
      </w:pPr>
      <w:r>
        <w:rPr>
          <w:b/>
          <w:bCs/>
        </w:rPr>
        <w:t xml:space="preserve">Table 1a. Patient Characteristics during </w:t>
      </w:r>
      <w:r w:rsidR="00022316">
        <w:rPr>
          <w:b/>
          <w:bCs/>
        </w:rPr>
        <w:t>Wave</w:t>
      </w:r>
      <w:r>
        <w:rPr>
          <w:b/>
          <w:bCs/>
        </w:rPr>
        <w:t xml:space="preserve"> 1</w:t>
      </w:r>
    </w:p>
    <w:tbl>
      <w:tblPr>
        <w:tblStyle w:val="Table"/>
        <w:tblW w:w="0" w:type="auto"/>
        <w:tblLook w:val="0020" w:firstRow="1" w:lastRow="0" w:firstColumn="0" w:lastColumn="0" w:noHBand="0" w:noVBand="0"/>
        <w:tblCaption w:val="Table 1a. Patient Characteristics during phase 1"/>
      </w:tblPr>
      <w:tblGrid>
        <w:gridCol w:w="3728"/>
        <w:gridCol w:w="1542"/>
      </w:tblGrid>
      <w:tr w:rsidR="00887060" w14:paraId="2387B4D2" w14:textId="77777777" w:rsidTr="0002231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2" w:space="0" w:color="auto"/>
            </w:tcBorders>
          </w:tcPr>
          <w:p w14:paraId="566AFC14" w14:textId="08DB9F37" w:rsidR="00887060" w:rsidRPr="00692FC5" w:rsidRDefault="00692FC5" w:rsidP="007422CB">
            <w:pPr>
              <w:pStyle w:val="Compact"/>
              <w:rPr>
                <w:sz w:val="20"/>
                <w:szCs w:val="20"/>
              </w:rPr>
            </w:pPr>
            <w:r w:rsidRPr="00692FC5">
              <w:rPr>
                <w:b/>
                <w:bCs/>
                <w:sz w:val="20"/>
                <w:szCs w:val="20"/>
              </w:rPr>
              <w:t>Characteristic</w:t>
            </w:r>
          </w:p>
        </w:tc>
        <w:tc>
          <w:tcPr>
            <w:tcW w:w="0" w:type="auto"/>
            <w:tcBorders>
              <w:top w:val="single" w:sz="4" w:space="0" w:color="auto"/>
              <w:bottom w:val="single" w:sz="2" w:space="0" w:color="auto"/>
              <w:right w:val="single" w:sz="4" w:space="0" w:color="auto"/>
            </w:tcBorders>
          </w:tcPr>
          <w:p w14:paraId="6155616E" w14:textId="6FF52A4E" w:rsidR="00887060" w:rsidRPr="002A4DC2" w:rsidRDefault="00887060" w:rsidP="007422CB">
            <w:pPr>
              <w:pStyle w:val="Compact"/>
              <w:jc w:val="center"/>
              <w:rPr>
                <w:sz w:val="20"/>
                <w:szCs w:val="20"/>
                <w:vertAlign w:val="superscript"/>
              </w:rPr>
            </w:pPr>
            <w:r w:rsidRPr="00692FC5">
              <w:rPr>
                <w:b/>
                <w:bCs/>
                <w:sz w:val="20"/>
                <w:szCs w:val="20"/>
              </w:rPr>
              <w:t>N = 1,513</w:t>
            </w:r>
            <w:r w:rsidR="002A4DC2" w:rsidRPr="002A4DC2">
              <w:rPr>
                <w:sz w:val="20"/>
                <w:szCs w:val="20"/>
                <w:vertAlign w:val="superscript"/>
              </w:rPr>
              <w:t>1</w:t>
            </w:r>
          </w:p>
        </w:tc>
      </w:tr>
      <w:tr w:rsidR="00887060" w14:paraId="66D07DA8" w14:textId="77777777" w:rsidTr="00022316">
        <w:tc>
          <w:tcPr>
            <w:tcW w:w="0" w:type="auto"/>
            <w:tcBorders>
              <w:top w:val="single" w:sz="2" w:space="0" w:color="auto"/>
              <w:left w:val="single" w:sz="4" w:space="0" w:color="auto"/>
              <w:bottom w:val="single" w:sz="4" w:space="0" w:color="auto"/>
            </w:tcBorders>
          </w:tcPr>
          <w:p w14:paraId="2830996F" w14:textId="77777777" w:rsidR="00887060" w:rsidRPr="00887060" w:rsidRDefault="00887060" w:rsidP="007422CB">
            <w:pPr>
              <w:pStyle w:val="Compact"/>
              <w:rPr>
                <w:sz w:val="20"/>
                <w:szCs w:val="20"/>
              </w:rPr>
            </w:pPr>
            <w:r w:rsidRPr="00887060">
              <w:rPr>
                <w:sz w:val="20"/>
                <w:szCs w:val="20"/>
              </w:rPr>
              <w:t>Age</w:t>
            </w:r>
          </w:p>
        </w:tc>
        <w:tc>
          <w:tcPr>
            <w:tcW w:w="0" w:type="auto"/>
            <w:tcBorders>
              <w:top w:val="single" w:sz="2" w:space="0" w:color="auto"/>
              <w:bottom w:val="single" w:sz="4" w:space="0" w:color="auto"/>
              <w:right w:val="single" w:sz="4" w:space="0" w:color="auto"/>
            </w:tcBorders>
          </w:tcPr>
          <w:p w14:paraId="6B7AF331" w14:textId="77777777" w:rsidR="00887060" w:rsidRPr="00887060" w:rsidRDefault="00887060" w:rsidP="007422CB">
            <w:pPr>
              <w:pStyle w:val="Compact"/>
              <w:jc w:val="center"/>
              <w:rPr>
                <w:sz w:val="20"/>
                <w:szCs w:val="20"/>
              </w:rPr>
            </w:pPr>
            <w:r w:rsidRPr="00887060">
              <w:rPr>
                <w:sz w:val="20"/>
                <w:szCs w:val="20"/>
              </w:rPr>
              <w:t>32.0 (27.0, 36.0)</w:t>
            </w:r>
          </w:p>
        </w:tc>
      </w:tr>
      <w:tr w:rsidR="00887060" w14:paraId="0F31882C" w14:textId="77777777" w:rsidTr="00022316">
        <w:tc>
          <w:tcPr>
            <w:tcW w:w="0" w:type="auto"/>
            <w:tcBorders>
              <w:top w:val="single" w:sz="4" w:space="0" w:color="auto"/>
              <w:left w:val="single" w:sz="4" w:space="0" w:color="auto"/>
            </w:tcBorders>
          </w:tcPr>
          <w:p w14:paraId="677194BC" w14:textId="77777777" w:rsidR="00887060" w:rsidRPr="00887060" w:rsidRDefault="00887060" w:rsidP="007422CB">
            <w:pPr>
              <w:pStyle w:val="Compact"/>
              <w:rPr>
                <w:sz w:val="20"/>
                <w:szCs w:val="20"/>
              </w:rPr>
            </w:pPr>
            <w:r w:rsidRPr="00887060">
              <w:rPr>
                <w:sz w:val="20"/>
                <w:szCs w:val="20"/>
              </w:rPr>
              <w:t>Ethnicity</w:t>
            </w:r>
          </w:p>
        </w:tc>
        <w:tc>
          <w:tcPr>
            <w:tcW w:w="0" w:type="auto"/>
            <w:tcBorders>
              <w:top w:val="single" w:sz="4" w:space="0" w:color="auto"/>
              <w:right w:val="single" w:sz="4" w:space="0" w:color="auto"/>
            </w:tcBorders>
          </w:tcPr>
          <w:p w14:paraId="0B63D00F" w14:textId="77777777" w:rsidR="00887060" w:rsidRPr="00887060" w:rsidRDefault="00887060" w:rsidP="007422CB">
            <w:pPr>
              <w:pStyle w:val="Compact"/>
              <w:rPr>
                <w:sz w:val="20"/>
                <w:szCs w:val="20"/>
              </w:rPr>
            </w:pPr>
          </w:p>
        </w:tc>
      </w:tr>
      <w:tr w:rsidR="00887060" w14:paraId="3CA2E080" w14:textId="77777777" w:rsidTr="00022316">
        <w:tc>
          <w:tcPr>
            <w:tcW w:w="0" w:type="auto"/>
            <w:tcBorders>
              <w:left w:val="single" w:sz="4" w:space="0" w:color="auto"/>
            </w:tcBorders>
          </w:tcPr>
          <w:p w14:paraId="7A41C6B7" w14:textId="6830B3A3" w:rsidR="00887060" w:rsidRPr="00887060" w:rsidRDefault="00887060" w:rsidP="007422CB">
            <w:pPr>
              <w:pStyle w:val="Compact"/>
              <w:rPr>
                <w:sz w:val="20"/>
                <w:szCs w:val="20"/>
              </w:rPr>
            </w:pPr>
            <w:r>
              <w:rPr>
                <w:sz w:val="20"/>
                <w:szCs w:val="20"/>
              </w:rPr>
              <w:t xml:space="preserve">   </w:t>
            </w:r>
            <w:r w:rsidRPr="00887060">
              <w:rPr>
                <w:sz w:val="20"/>
                <w:szCs w:val="20"/>
              </w:rPr>
              <w:t>Latina/Hispanic</w:t>
            </w:r>
          </w:p>
        </w:tc>
        <w:tc>
          <w:tcPr>
            <w:tcW w:w="0" w:type="auto"/>
            <w:tcBorders>
              <w:right w:val="single" w:sz="4" w:space="0" w:color="auto"/>
            </w:tcBorders>
          </w:tcPr>
          <w:p w14:paraId="4871464D" w14:textId="77777777" w:rsidR="00887060" w:rsidRPr="00887060" w:rsidRDefault="00887060" w:rsidP="007422CB">
            <w:pPr>
              <w:pStyle w:val="Compact"/>
              <w:jc w:val="center"/>
              <w:rPr>
                <w:sz w:val="20"/>
                <w:szCs w:val="20"/>
              </w:rPr>
            </w:pPr>
            <w:r w:rsidRPr="00887060">
              <w:rPr>
                <w:sz w:val="20"/>
                <w:szCs w:val="20"/>
              </w:rPr>
              <w:t>588 (39%)</w:t>
            </w:r>
          </w:p>
        </w:tc>
      </w:tr>
      <w:tr w:rsidR="00887060" w14:paraId="6E233C67" w14:textId="77777777" w:rsidTr="00022316">
        <w:tc>
          <w:tcPr>
            <w:tcW w:w="0" w:type="auto"/>
            <w:tcBorders>
              <w:left w:val="single" w:sz="4" w:space="0" w:color="auto"/>
              <w:bottom w:val="single" w:sz="4" w:space="0" w:color="auto"/>
            </w:tcBorders>
          </w:tcPr>
          <w:p w14:paraId="4F8B50E3" w14:textId="789D39C0" w:rsidR="00887060" w:rsidRPr="00887060" w:rsidRDefault="00887060" w:rsidP="007422CB">
            <w:pPr>
              <w:pStyle w:val="Compact"/>
              <w:rPr>
                <w:sz w:val="20"/>
                <w:szCs w:val="20"/>
              </w:rPr>
            </w:pPr>
            <w:r>
              <w:rPr>
                <w:sz w:val="20"/>
                <w:szCs w:val="20"/>
              </w:rPr>
              <w:t xml:space="preserve">   </w:t>
            </w:r>
            <w:r w:rsidRPr="00887060">
              <w:rPr>
                <w:sz w:val="20"/>
                <w:szCs w:val="20"/>
              </w:rPr>
              <w:t>Non-Latina/Non-Hispanic</w:t>
            </w:r>
          </w:p>
        </w:tc>
        <w:tc>
          <w:tcPr>
            <w:tcW w:w="0" w:type="auto"/>
            <w:tcBorders>
              <w:bottom w:val="single" w:sz="4" w:space="0" w:color="auto"/>
              <w:right w:val="single" w:sz="4" w:space="0" w:color="auto"/>
            </w:tcBorders>
          </w:tcPr>
          <w:p w14:paraId="2EAAEBC2" w14:textId="77777777" w:rsidR="00887060" w:rsidRPr="00887060" w:rsidRDefault="00887060" w:rsidP="007422CB">
            <w:pPr>
              <w:pStyle w:val="Compact"/>
              <w:jc w:val="center"/>
              <w:rPr>
                <w:sz w:val="20"/>
                <w:szCs w:val="20"/>
              </w:rPr>
            </w:pPr>
            <w:r w:rsidRPr="00887060">
              <w:rPr>
                <w:sz w:val="20"/>
                <w:szCs w:val="20"/>
              </w:rPr>
              <w:t>925 (61%)</w:t>
            </w:r>
          </w:p>
        </w:tc>
      </w:tr>
      <w:tr w:rsidR="00887060" w14:paraId="5F2883B3" w14:textId="77777777" w:rsidTr="00022316">
        <w:tc>
          <w:tcPr>
            <w:tcW w:w="0" w:type="auto"/>
            <w:tcBorders>
              <w:top w:val="single" w:sz="4" w:space="0" w:color="auto"/>
              <w:left w:val="single" w:sz="4" w:space="0" w:color="auto"/>
            </w:tcBorders>
          </w:tcPr>
          <w:p w14:paraId="58D12DD5" w14:textId="77777777" w:rsidR="00887060" w:rsidRPr="00887060" w:rsidRDefault="00887060" w:rsidP="007422CB">
            <w:pPr>
              <w:pStyle w:val="Compact"/>
              <w:rPr>
                <w:sz w:val="20"/>
                <w:szCs w:val="20"/>
              </w:rPr>
            </w:pPr>
            <w:r w:rsidRPr="00887060">
              <w:rPr>
                <w:sz w:val="20"/>
                <w:szCs w:val="20"/>
              </w:rPr>
              <w:t>Race</w:t>
            </w:r>
          </w:p>
        </w:tc>
        <w:tc>
          <w:tcPr>
            <w:tcW w:w="0" w:type="auto"/>
            <w:tcBorders>
              <w:top w:val="single" w:sz="4" w:space="0" w:color="auto"/>
              <w:right w:val="single" w:sz="4" w:space="0" w:color="auto"/>
            </w:tcBorders>
          </w:tcPr>
          <w:p w14:paraId="6BD82C4D" w14:textId="77777777" w:rsidR="00887060" w:rsidRPr="00887060" w:rsidRDefault="00887060" w:rsidP="007422CB">
            <w:pPr>
              <w:pStyle w:val="Compact"/>
              <w:rPr>
                <w:sz w:val="20"/>
                <w:szCs w:val="20"/>
              </w:rPr>
            </w:pPr>
          </w:p>
        </w:tc>
      </w:tr>
      <w:tr w:rsidR="00887060" w14:paraId="7D987F91" w14:textId="77777777" w:rsidTr="00022316">
        <w:tc>
          <w:tcPr>
            <w:tcW w:w="0" w:type="auto"/>
            <w:tcBorders>
              <w:left w:val="single" w:sz="4" w:space="0" w:color="auto"/>
            </w:tcBorders>
          </w:tcPr>
          <w:p w14:paraId="30516270" w14:textId="35D2FBCB" w:rsidR="00887060" w:rsidRPr="00887060" w:rsidRDefault="00887060" w:rsidP="007422CB">
            <w:pPr>
              <w:pStyle w:val="Compact"/>
              <w:rPr>
                <w:sz w:val="20"/>
                <w:szCs w:val="20"/>
              </w:rPr>
            </w:pPr>
            <w:r>
              <w:rPr>
                <w:sz w:val="20"/>
                <w:szCs w:val="20"/>
              </w:rPr>
              <w:t xml:space="preserve">   Unknown</w:t>
            </w:r>
          </w:p>
        </w:tc>
        <w:tc>
          <w:tcPr>
            <w:tcW w:w="0" w:type="auto"/>
            <w:tcBorders>
              <w:right w:val="single" w:sz="4" w:space="0" w:color="auto"/>
            </w:tcBorders>
          </w:tcPr>
          <w:p w14:paraId="3D3A388E" w14:textId="77777777" w:rsidR="00887060" w:rsidRPr="00887060" w:rsidRDefault="00887060" w:rsidP="007422CB">
            <w:pPr>
              <w:pStyle w:val="Compact"/>
              <w:jc w:val="center"/>
              <w:rPr>
                <w:sz w:val="20"/>
                <w:szCs w:val="20"/>
              </w:rPr>
            </w:pPr>
            <w:r w:rsidRPr="00887060">
              <w:rPr>
                <w:sz w:val="20"/>
                <w:szCs w:val="20"/>
              </w:rPr>
              <w:t>80 (5.3%)</w:t>
            </w:r>
          </w:p>
        </w:tc>
      </w:tr>
      <w:tr w:rsidR="00887060" w14:paraId="284D735C" w14:textId="77777777" w:rsidTr="00022316">
        <w:tc>
          <w:tcPr>
            <w:tcW w:w="0" w:type="auto"/>
            <w:tcBorders>
              <w:left w:val="single" w:sz="4" w:space="0" w:color="auto"/>
            </w:tcBorders>
          </w:tcPr>
          <w:p w14:paraId="5E62D1AA" w14:textId="1A082A53" w:rsidR="00887060" w:rsidRPr="00887060" w:rsidRDefault="00887060" w:rsidP="007422CB">
            <w:pPr>
              <w:pStyle w:val="Compact"/>
              <w:rPr>
                <w:sz w:val="20"/>
                <w:szCs w:val="20"/>
              </w:rPr>
            </w:pPr>
            <w:r>
              <w:rPr>
                <w:sz w:val="20"/>
                <w:szCs w:val="20"/>
              </w:rPr>
              <w:t xml:space="preserve">   </w:t>
            </w:r>
            <w:r w:rsidRPr="00887060">
              <w:rPr>
                <w:sz w:val="20"/>
                <w:szCs w:val="20"/>
              </w:rPr>
              <w:t>American</w:t>
            </w:r>
            <w:r>
              <w:rPr>
                <w:sz w:val="20"/>
                <w:szCs w:val="20"/>
              </w:rPr>
              <w:t xml:space="preserve"> </w:t>
            </w:r>
            <w:r w:rsidRPr="00887060">
              <w:rPr>
                <w:sz w:val="20"/>
                <w:szCs w:val="20"/>
              </w:rPr>
              <w:t>Indian</w:t>
            </w:r>
            <w:r>
              <w:rPr>
                <w:sz w:val="20"/>
                <w:szCs w:val="20"/>
              </w:rPr>
              <w:t xml:space="preserve"> or A</w:t>
            </w:r>
            <w:r w:rsidRPr="00887060">
              <w:rPr>
                <w:sz w:val="20"/>
                <w:szCs w:val="20"/>
              </w:rPr>
              <w:t>laska</w:t>
            </w:r>
            <w:r>
              <w:rPr>
                <w:sz w:val="20"/>
                <w:szCs w:val="20"/>
              </w:rPr>
              <w:t xml:space="preserve"> </w:t>
            </w:r>
            <w:r w:rsidRPr="00887060">
              <w:rPr>
                <w:sz w:val="20"/>
                <w:szCs w:val="20"/>
              </w:rPr>
              <w:t>Native</w:t>
            </w:r>
          </w:p>
        </w:tc>
        <w:tc>
          <w:tcPr>
            <w:tcW w:w="0" w:type="auto"/>
            <w:tcBorders>
              <w:right w:val="single" w:sz="4" w:space="0" w:color="auto"/>
            </w:tcBorders>
          </w:tcPr>
          <w:p w14:paraId="1012477E" w14:textId="77777777" w:rsidR="00887060" w:rsidRPr="00887060" w:rsidRDefault="00887060" w:rsidP="007422CB">
            <w:pPr>
              <w:pStyle w:val="Compact"/>
              <w:jc w:val="center"/>
              <w:rPr>
                <w:sz w:val="20"/>
                <w:szCs w:val="20"/>
              </w:rPr>
            </w:pPr>
            <w:r w:rsidRPr="00887060">
              <w:rPr>
                <w:sz w:val="20"/>
                <w:szCs w:val="20"/>
              </w:rPr>
              <w:t>4 (0.3%)</w:t>
            </w:r>
          </w:p>
        </w:tc>
      </w:tr>
      <w:tr w:rsidR="00887060" w14:paraId="30A6008F" w14:textId="77777777" w:rsidTr="00022316">
        <w:tc>
          <w:tcPr>
            <w:tcW w:w="0" w:type="auto"/>
            <w:tcBorders>
              <w:left w:val="single" w:sz="4" w:space="0" w:color="auto"/>
            </w:tcBorders>
          </w:tcPr>
          <w:p w14:paraId="3E4F47F2" w14:textId="6C4E8A27" w:rsidR="00887060" w:rsidRPr="00887060" w:rsidRDefault="00887060" w:rsidP="007422CB">
            <w:pPr>
              <w:pStyle w:val="Compact"/>
              <w:rPr>
                <w:sz w:val="20"/>
                <w:szCs w:val="20"/>
              </w:rPr>
            </w:pPr>
            <w:r>
              <w:rPr>
                <w:sz w:val="20"/>
                <w:szCs w:val="20"/>
              </w:rPr>
              <w:t xml:space="preserve">   </w:t>
            </w:r>
            <w:r w:rsidRPr="00887060">
              <w:rPr>
                <w:sz w:val="20"/>
                <w:szCs w:val="20"/>
              </w:rPr>
              <w:t>Asian</w:t>
            </w:r>
          </w:p>
        </w:tc>
        <w:tc>
          <w:tcPr>
            <w:tcW w:w="0" w:type="auto"/>
            <w:tcBorders>
              <w:right w:val="single" w:sz="4" w:space="0" w:color="auto"/>
            </w:tcBorders>
          </w:tcPr>
          <w:p w14:paraId="0287D93F" w14:textId="77777777" w:rsidR="00887060" w:rsidRPr="00887060" w:rsidRDefault="00887060" w:rsidP="007422CB">
            <w:pPr>
              <w:pStyle w:val="Compact"/>
              <w:jc w:val="center"/>
              <w:rPr>
                <w:sz w:val="20"/>
                <w:szCs w:val="20"/>
              </w:rPr>
            </w:pPr>
            <w:r w:rsidRPr="00887060">
              <w:rPr>
                <w:sz w:val="20"/>
                <w:szCs w:val="20"/>
              </w:rPr>
              <w:t>107 (7.1%)</w:t>
            </w:r>
          </w:p>
        </w:tc>
      </w:tr>
      <w:tr w:rsidR="00887060" w14:paraId="17F34E2F" w14:textId="77777777" w:rsidTr="00022316">
        <w:tc>
          <w:tcPr>
            <w:tcW w:w="0" w:type="auto"/>
            <w:tcBorders>
              <w:left w:val="single" w:sz="4" w:space="0" w:color="auto"/>
            </w:tcBorders>
          </w:tcPr>
          <w:p w14:paraId="6B702A0B" w14:textId="32325794" w:rsidR="00887060" w:rsidRPr="00887060" w:rsidRDefault="00887060" w:rsidP="007422CB">
            <w:pPr>
              <w:pStyle w:val="Compact"/>
              <w:rPr>
                <w:sz w:val="20"/>
                <w:szCs w:val="20"/>
              </w:rPr>
            </w:pPr>
            <w:r>
              <w:rPr>
                <w:sz w:val="20"/>
                <w:szCs w:val="20"/>
              </w:rPr>
              <w:t xml:space="preserve">   </w:t>
            </w:r>
            <w:r w:rsidRPr="00887060">
              <w:rPr>
                <w:sz w:val="20"/>
                <w:szCs w:val="20"/>
              </w:rPr>
              <w:t>Black</w:t>
            </w:r>
          </w:p>
        </w:tc>
        <w:tc>
          <w:tcPr>
            <w:tcW w:w="0" w:type="auto"/>
            <w:tcBorders>
              <w:right w:val="single" w:sz="4" w:space="0" w:color="auto"/>
            </w:tcBorders>
          </w:tcPr>
          <w:p w14:paraId="4909CC66" w14:textId="77777777" w:rsidR="00887060" w:rsidRPr="00887060" w:rsidRDefault="00887060" w:rsidP="007422CB">
            <w:pPr>
              <w:pStyle w:val="Compact"/>
              <w:jc w:val="center"/>
              <w:rPr>
                <w:sz w:val="20"/>
                <w:szCs w:val="20"/>
              </w:rPr>
            </w:pPr>
            <w:r w:rsidRPr="00887060">
              <w:rPr>
                <w:sz w:val="20"/>
                <w:szCs w:val="20"/>
              </w:rPr>
              <w:t>208 (14%)</w:t>
            </w:r>
          </w:p>
        </w:tc>
      </w:tr>
      <w:tr w:rsidR="00887060" w14:paraId="0A9F4784" w14:textId="77777777" w:rsidTr="00022316">
        <w:tc>
          <w:tcPr>
            <w:tcW w:w="0" w:type="auto"/>
            <w:tcBorders>
              <w:left w:val="single" w:sz="4" w:space="0" w:color="auto"/>
            </w:tcBorders>
          </w:tcPr>
          <w:p w14:paraId="6C0B0E7A" w14:textId="4A645ACA" w:rsidR="00887060" w:rsidRPr="00887060" w:rsidRDefault="00887060" w:rsidP="007422CB">
            <w:pPr>
              <w:pStyle w:val="Compact"/>
              <w:rPr>
                <w:sz w:val="20"/>
                <w:szCs w:val="20"/>
              </w:rPr>
            </w:pPr>
            <w:r>
              <w:rPr>
                <w:sz w:val="20"/>
                <w:szCs w:val="20"/>
              </w:rPr>
              <w:t xml:space="preserve">   </w:t>
            </w:r>
            <w:r w:rsidRPr="00887060">
              <w:rPr>
                <w:sz w:val="20"/>
                <w:szCs w:val="20"/>
              </w:rPr>
              <w:t>Declined</w:t>
            </w:r>
          </w:p>
        </w:tc>
        <w:tc>
          <w:tcPr>
            <w:tcW w:w="0" w:type="auto"/>
            <w:tcBorders>
              <w:right w:val="single" w:sz="4" w:space="0" w:color="auto"/>
            </w:tcBorders>
          </w:tcPr>
          <w:p w14:paraId="7F37615E" w14:textId="77777777" w:rsidR="00887060" w:rsidRPr="00887060" w:rsidRDefault="00887060" w:rsidP="007422CB">
            <w:pPr>
              <w:pStyle w:val="Compact"/>
              <w:jc w:val="center"/>
              <w:rPr>
                <w:sz w:val="20"/>
                <w:szCs w:val="20"/>
              </w:rPr>
            </w:pPr>
            <w:r w:rsidRPr="00887060">
              <w:rPr>
                <w:sz w:val="20"/>
                <w:szCs w:val="20"/>
              </w:rPr>
              <w:t>59 (3.9%)</w:t>
            </w:r>
          </w:p>
        </w:tc>
      </w:tr>
      <w:tr w:rsidR="00887060" w14:paraId="54C31636" w14:textId="77777777" w:rsidTr="00022316">
        <w:tc>
          <w:tcPr>
            <w:tcW w:w="0" w:type="auto"/>
            <w:tcBorders>
              <w:left w:val="single" w:sz="4" w:space="0" w:color="auto"/>
            </w:tcBorders>
          </w:tcPr>
          <w:p w14:paraId="1B8749E1" w14:textId="2B944F31" w:rsidR="00887060" w:rsidRPr="00887060" w:rsidRDefault="00887060" w:rsidP="007422CB">
            <w:pPr>
              <w:pStyle w:val="Compact"/>
              <w:rPr>
                <w:sz w:val="20"/>
                <w:szCs w:val="20"/>
              </w:rPr>
            </w:pPr>
            <w:r>
              <w:rPr>
                <w:sz w:val="20"/>
                <w:szCs w:val="20"/>
              </w:rPr>
              <w:t xml:space="preserve">   </w:t>
            </w:r>
            <w:r w:rsidRPr="00887060">
              <w:rPr>
                <w:sz w:val="20"/>
                <w:szCs w:val="20"/>
              </w:rPr>
              <w:t>Multiple</w:t>
            </w:r>
            <w:r>
              <w:rPr>
                <w:sz w:val="20"/>
                <w:szCs w:val="20"/>
              </w:rPr>
              <w:t xml:space="preserve"> </w:t>
            </w:r>
            <w:r w:rsidRPr="00887060">
              <w:rPr>
                <w:sz w:val="20"/>
                <w:szCs w:val="20"/>
              </w:rPr>
              <w:t>Race</w:t>
            </w:r>
          </w:p>
        </w:tc>
        <w:tc>
          <w:tcPr>
            <w:tcW w:w="0" w:type="auto"/>
            <w:tcBorders>
              <w:right w:val="single" w:sz="4" w:space="0" w:color="auto"/>
            </w:tcBorders>
          </w:tcPr>
          <w:p w14:paraId="3029F5AF" w14:textId="77777777" w:rsidR="00887060" w:rsidRPr="00887060" w:rsidRDefault="00887060" w:rsidP="007422CB">
            <w:pPr>
              <w:pStyle w:val="Compact"/>
              <w:jc w:val="center"/>
              <w:rPr>
                <w:sz w:val="20"/>
                <w:szCs w:val="20"/>
              </w:rPr>
            </w:pPr>
            <w:r w:rsidRPr="00887060">
              <w:rPr>
                <w:sz w:val="20"/>
                <w:szCs w:val="20"/>
              </w:rPr>
              <w:t>139 (9.2%)</w:t>
            </w:r>
          </w:p>
        </w:tc>
      </w:tr>
      <w:tr w:rsidR="00887060" w14:paraId="0074F68B" w14:textId="77777777" w:rsidTr="00022316">
        <w:tc>
          <w:tcPr>
            <w:tcW w:w="0" w:type="auto"/>
            <w:tcBorders>
              <w:left w:val="single" w:sz="4" w:space="0" w:color="auto"/>
            </w:tcBorders>
          </w:tcPr>
          <w:p w14:paraId="5B37F513" w14:textId="1D2F9A52" w:rsidR="00887060" w:rsidRPr="00887060" w:rsidRDefault="00887060" w:rsidP="007422CB">
            <w:pPr>
              <w:pStyle w:val="Compact"/>
              <w:rPr>
                <w:sz w:val="20"/>
                <w:szCs w:val="20"/>
              </w:rPr>
            </w:pPr>
            <w:r>
              <w:rPr>
                <w:sz w:val="20"/>
                <w:szCs w:val="20"/>
              </w:rPr>
              <w:t xml:space="preserve">   </w:t>
            </w:r>
            <w:r w:rsidRPr="00887060">
              <w:rPr>
                <w:sz w:val="20"/>
                <w:szCs w:val="20"/>
              </w:rPr>
              <w:t>Native</w:t>
            </w:r>
            <w:r>
              <w:rPr>
                <w:sz w:val="20"/>
                <w:szCs w:val="20"/>
              </w:rPr>
              <w:t xml:space="preserve"> </w:t>
            </w:r>
            <w:r w:rsidRPr="00887060">
              <w:rPr>
                <w:sz w:val="20"/>
                <w:szCs w:val="20"/>
              </w:rPr>
              <w:t>Hawaiian</w:t>
            </w:r>
            <w:r w:rsidR="00022316">
              <w:rPr>
                <w:sz w:val="20"/>
                <w:szCs w:val="20"/>
              </w:rPr>
              <w:t xml:space="preserve"> or Other Pacific Islander</w:t>
            </w:r>
          </w:p>
        </w:tc>
        <w:tc>
          <w:tcPr>
            <w:tcW w:w="0" w:type="auto"/>
            <w:tcBorders>
              <w:right w:val="single" w:sz="4" w:space="0" w:color="auto"/>
            </w:tcBorders>
          </w:tcPr>
          <w:p w14:paraId="0CC1C37B" w14:textId="77777777" w:rsidR="00887060" w:rsidRPr="00887060" w:rsidRDefault="00887060" w:rsidP="007422CB">
            <w:pPr>
              <w:pStyle w:val="Compact"/>
              <w:jc w:val="center"/>
              <w:rPr>
                <w:sz w:val="20"/>
                <w:szCs w:val="20"/>
              </w:rPr>
            </w:pPr>
            <w:r w:rsidRPr="00887060">
              <w:rPr>
                <w:sz w:val="20"/>
                <w:szCs w:val="20"/>
              </w:rPr>
              <w:t>12 (0.8%)</w:t>
            </w:r>
          </w:p>
        </w:tc>
      </w:tr>
      <w:tr w:rsidR="00887060" w14:paraId="107A35CF" w14:textId="77777777" w:rsidTr="00022316">
        <w:tc>
          <w:tcPr>
            <w:tcW w:w="0" w:type="auto"/>
            <w:tcBorders>
              <w:left w:val="single" w:sz="4" w:space="0" w:color="auto"/>
            </w:tcBorders>
          </w:tcPr>
          <w:p w14:paraId="2222D018" w14:textId="0AD30CE8" w:rsidR="00887060" w:rsidRPr="00887060" w:rsidRDefault="00022316" w:rsidP="007422CB">
            <w:pPr>
              <w:pStyle w:val="Compact"/>
              <w:rPr>
                <w:sz w:val="20"/>
                <w:szCs w:val="20"/>
              </w:rPr>
            </w:pPr>
            <w:r>
              <w:rPr>
                <w:sz w:val="20"/>
                <w:szCs w:val="20"/>
              </w:rPr>
              <w:t xml:space="preserve">   </w:t>
            </w:r>
            <w:r w:rsidR="00887060" w:rsidRPr="00887060">
              <w:rPr>
                <w:sz w:val="20"/>
                <w:szCs w:val="20"/>
              </w:rPr>
              <w:t>Other</w:t>
            </w:r>
          </w:p>
        </w:tc>
        <w:tc>
          <w:tcPr>
            <w:tcW w:w="0" w:type="auto"/>
            <w:tcBorders>
              <w:right w:val="single" w:sz="4" w:space="0" w:color="auto"/>
            </w:tcBorders>
          </w:tcPr>
          <w:p w14:paraId="2C95F8E5" w14:textId="77777777" w:rsidR="00887060" w:rsidRPr="00887060" w:rsidRDefault="00887060" w:rsidP="007422CB">
            <w:pPr>
              <w:pStyle w:val="Compact"/>
              <w:jc w:val="center"/>
              <w:rPr>
                <w:sz w:val="20"/>
                <w:szCs w:val="20"/>
              </w:rPr>
            </w:pPr>
            <w:r w:rsidRPr="00887060">
              <w:rPr>
                <w:sz w:val="20"/>
                <w:szCs w:val="20"/>
              </w:rPr>
              <w:t>322 (21%)</w:t>
            </w:r>
          </w:p>
        </w:tc>
      </w:tr>
      <w:tr w:rsidR="00887060" w14:paraId="46697F01" w14:textId="77777777" w:rsidTr="00022316">
        <w:tc>
          <w:tcPr>
            <w:tcW w:w="0" w:type="auto"/>
            <w:tcBorders>
              <w:left w:val="single" w:sz="4" w:space="0" w:color="auto"/>
              <w:bottom w:val="single" w:sz="4" w:space="0" w:color="auto"/>
            </w:tcBorders>
          </w:tcPr>
          <w:p w14:paraId="3B6F0268" w14:textId="74B7C343" w:rsidR="00887060" w:rsidRPr="00887060" w:rsidRDefault="00022316" w:rsidP="007422CB">
            <w:pPr>
              <w:pStyle w:val="Compact"/>
              <w:rPr>
                <w:sz w:val="20"/>
                <w:szCs w:val="20"/>
              </w:rPr>
            </w:pPr>
            <w:r>
              <w:rPr>
                <w:sz w:val="20"/>
                <w:szCs w:val="20"/>
              </w:rPr>
              <w:t xml:space="preserve">   </w:t>
            </w:r>
            <w:r w:rsidR="00887060" w:rsidRPr="00887060">
              <w:rPr>
                <w:sz w:val="20"/>
                <w:szCs w:val="20"/>
              </w:rPr>
              <w:t>White</w:t>
            </w:r>
          </w:p>
        </w:tc>
        <w:tc>
          <w:tcPr>
            <w:tcW w:w="0" w:type="auto"/>
            <w:tcBorders>
              <w:bottom w:val="single" w:sz="4" w:space="0" w:color="auto"/>
              <w:right w:val="single" w:sz="4" w:space="0" w:color="auto"/>
            </w:tcBorders>
          </w:tcPr>
          <w:p w14:paraId="2CBC1474" w14:textId="77777777" w:rsidR="00887060" w:rsidRPr="00887060" w:rsidRDefault="00887060" w:rsidP="007422CB">
            <w:pPr>
              <w:pStyle w:val="Compact"/>
              <w:jc w:val="center"/>
              <w:rPr>
                <w:sz w:val="20"/>
                <w:szCs w:val="20"/>
              </w:rPr>
            </w:pPr>
            <w:r w:rsidRPr="00887060">
              <w:rPr>
                <w:sz w:val="20"/>
                <w:szCs w:val="20"/>
              </w:rPr>
              <w:t>582 (38%)</w:t>
            </w:r>
          </w:p>
        </w:tc>
      </w:tr>
      <w:tr w:rsidR="00887060" w14:paraId="3739C0DE" w14:textId="77777777" w:rsidTr="00022316">
        <w:tc>
          <w:tcPr>
            <w:tcW w:w="0" w:type="auto"/>
            <w:tcBorders>
              <w:top w:val="single" w:sz="4" w:space="0" w:color="auto"/>
              <w:left w:val="single" w:sz="4" w:space="0" w:color="auto"/>
            </w:tcBorders>
          </w:tcPr>
          <w:p w14:paraId="583A3389" w14:textId="2698F7DD" w:rsidR="00887060" w:rsidRPr="00887060" w:rsidRDefault="00887060" w:rsidP="007422CB">
            <w:pPr>
              <w:pStyle w:val="Compact"/>
              <w:rPr>
                <w:sz w:val="20"/>
                <w:szCs w:val="20"/>
              </w:rPr>
            </w:pPr>
            <w:r w:rsidRPr="00887060">
              <w:rPr>
                <w:sz w:val="20"/>
                <w:szCs w:val="20"/>
              </w:rPr>
              <w:t>COVID-19</w:t>
            </w:r>
            <w:r w:rsidR="00022316">
              <w:rPr>
                <w:sz w:val="20"/>
                <w:szCs w:val="20"/>
              </w:rPr>
              <w:t xml:space="preserve"> Status at Delivery</w:t>
            </w:r>
          </w:p>
        </w:tc>
        <w:tc>
          <w:tcPr>
            <w:tcW w:w="0" w:type="auto"/>
            <w:tcBorders>
              <w:top w:val="single" w:sz="4" w:space="0" w:color="auto"/>
              <w:right w:val="single" w:sz="4" w:space="0" w:color="auto"/>
            </w:tcBorders>
          </w:tcPr>
          <w:p w14:paraId="4BD7F75E" w14:textId="77777777" w:rsidR="00887060" w:rsidRPr="00887060" w:rsidRDefault="00887060" w:rsidP="007422CB">
            <w:pPr>
              <w:pStyle w:val="Compact"/>
              <w:rPr>
                <w:sz w:val="20"/>
                <w:szCs w:val="20"/>
              </w:rPr>
            </w:pPr>
          </w:p>
        </w:tc>
      </w:tr>
      <w:tr w:rsidR="00887060" w14:paraId="0575B5C1" w14:textId="77777777" w:rsidTr="00022316">
        <w:tc>
          <w:tcPr>
            <w:tcW w:w="0" w:type="auto"/>
            <w:tcBorders>
              <w:left w:val="single" w:sz="4" w:space="0" w:color="auto"/>
            </w:tcBorders>
          </w:tcPr>
          <w:p w14:paraId="3DA8D7D2" w14:textId="05FF32CB" w:rsidR="00887060" w:rsidRPr="00887060" w:rsidRDefault="00022316" w:rsidP="007422CB">
            <w:pPr>
              <w:pStyle w:val="Compact"/>
              <w:rPr>
                <w:sz w:val="20"/>
                <w:szCs w:val="20"/>
              </w:rPr>
            </w:pPr>
            <w:r>
              <w:rPr>
                <w:sz w:val="20"/>
                <w:szCs w:val="20"/>
              </w:rPr>
              <w:t xml:space="preserve">   </w:t>
            </w:r>
            <w:r w:rsidR="00887060" w:rsidRPr="00887060">
              <w:rPr>
                <w:sz w:val="20"/>
                <w:szCs w:val="20"/>
              </w:rPr>
              <w:t>COVID-19 Infection</w:t>
            </w:r>
          </w:p>
        </w:tc>
        <w:tc>
          <w:tcPr>
            <w:tcW w:w="0" w:type="auto"/>
            <w:tcBorders>
              <w:right w:val="single" w:sz="4" w:space="0" w:color="auto"/>
            </w:tcBorders>
          </w:tcPr>
          <w:p w14:paraId="116C5E98" w14:textId="77777777" w:rsidR="00887060" w:rsidRPr="00887060" w:rsidRDefault="00887060" w:rsidP="007422CB">
            <w:pPr>
              <w:pStyle w:val="Compact"/>
              <w:jc w:val="center"/>
              <w:rPr>
                <w:sz w:val="20"/>
                <w:szCs w:val="20"/>
              </w:rPr>
            </w:pPr>
            <w:r w:rsidRPr="00887060">
              <w:rPr>
                <w:sz w:val="20"/>
                <w:szCs w:val="20"/>
              </w:rPr>
              <w:t>695 (46%)</w:t>
            </w:r>
          </w:p>
        </w:tc>
      </w:tr>
      <w:tr w:rsidR="00887060" w14:paraId="407E780E" w14:textId="77777777" w:rsidTr="00022316">
        <w:tc>
          <w:tcPr>
            <w:tcW w:w="0" w:type="auto"/>
            <w:tcBorders>
              <w:left w:val="single" w:sz="4" w:space="0" w:color="auto"/>
              <w:bottom w:val="single" w:sz="4" w:space="0" w:color="auto"/>
            </w:tcBorders>
          </w:tcPr>
          <w:p w14:paraId="0FCA5A00" w14:textId="3FC34BD9" w:rsidR="00887060" w:rsidRPr="00887060" w:rsidRDefault="00022316" w:rsidP="007422CB">
            <w:pPr>
              <w:pStyle w:val="Compact"/>
              <w:rPr>
                <w:sz w:val="20"/>
                <w:szCs w:val="20"/>
              </w:rPr>
            </w:pPr>
            <w:r>
              <w:rPr>
                <w:sz w:val="20"/>
                <w:szCs w:val="20"/>
              </w:rPr>
              <w:t xml:space="preserve">   </w:t>
            </w:r>
            <w:r w:rsidR="00887060" w:rsidRPr="00887060">
              <w:rPr>
                <w:sz w:val="20"/>
                <w:szCs w:val="20"/>
              </w:rPr>
              <w:t>No COVID-19 Infection</w:t>
            </w:r>
          </w:p>
        </w:tc>
        <w:tc>
          <w:tcPr>
            <w:tcW w:w="0" w:type="auto"/>
            <w:tcBorders>
              <w:bottom w:val="single" w:sz="4" w:space="0" w:color="auto"/>
              <w:right w:val="single" w:sz="4" w:space="0" w:color="auto"/>
            </w:tcBorders>
          </w:tcPr>
          <w:p w14:paraId="60EB5DE8" w14:textId="77777777" w:rsidR="00887060" w:rsidRPr="00887060" w:rsidRDefault="00887060" w:rsidP="007422CB">
            <w:pPr>
              <w:pStyle w:val="Compact"/>
              <w:jc w:val="center"/>
              <w:rPr>
                <w:sz w:val="20"/>
                <w:szCs w:val="20"/>
              </w:rPr>
            </w:pPr>
            <w:r w:rsidRPr="00887060">
              <w:rPr>
                <w:sz w:val="20"/>
                <w:szCs w:val="20"/>
              </w:rPr>
              <w:t>818 (54%)</w:t>
            </w:r>
          </w:p>
        </w:tc>
      </w:tr>
      <w:tr w:rsidR="00887060" w14:paraId="35214508" w14:textId="77777777" w:rsidTr="00022316">
        <w:tc>
          <w:tcPr>
            <w:tcW w:w="0" w:type="auto"/>
            <w:tcBorders>
              <w:top w:val="single" w:sz="4" w:space="0" w:color="auto"/>
              <w:left w:val="single" w:sz="4" w:space="0" w:color="auto"/>
            </w:tcBorders>
          </w:tcPr>
          <w:p w14:paraId="4ED084B5" w14:textId="5946012D" w:rsidR="00887060" w:rsidRPr="00887060" w:rsidRDefault="00022316" w:rsidP="007422CB">
            <w:pPr>
              <w:pStyle w:val="Compact"/>
              <w:rPr>
                <w:sz w:val="20"/>
                <w:szCs w:val="20"/>
              </w:rPr>
            </w:pPr>
            <w:r>
              <w:rPr>
                <w:sz w:val="20"/>
                <w:szCs w:val="20"/>
              </w:rPr>
              <w:lastRenderedPageBreak/>
              <w:t>Delivery Type</w:t>
            </w:r>
          </w:p>
        </w:tc>
        <w:tc>
          <w:tcPr>
            <w:tcW w:w="0" w:type="auto"/>
            <w:tcBorders>
              <w:top w:val="single" w:sz="4" w:space="0" w:color="auto"/>
              <w:right w:val="single" w:sz="4" w:space="0" w:color="auto"/>
            </w:tcBorders>
          </w:tcPr>
          <w:p w14:paraId="307FE281" w14:textId="77777777" w:rsidR="00887060" w:rsidRPr="00887060" w:rsidRDefault="00887060" w:rsidP="007422CB">
            <w:pPr>
              <w:pStyle w:val="Compact"/>
              <w:rPr>
                <w:sz w:val="20"/>
                <w:szCs w:val="20"/>
              </w:rPr>
            </w:pPr>
          </w:p>
        </w:tc>
      </w:tr>
      <w:tr w:rsidR="00887060" w14:paraId="1B60ED2F" w14:textId="77777777" w:rsidTr="00022316">
        <w:tc>
          <w:tcPr>
            <w:tcW w:w="0" w:type="auto"/>
            <w:tcBorders>
              <w:left w:val="single" w:sz="4" w:space="0" w:color="auto"/>
            </w:tcBorders>
          </w:tcPr>
          <w:p w14:paraId="58621966" w14:textId="76913AF0" w:rsidR="00887060" w:rsidRPr="00887060" w:rsidRDefault="00022316" w:rsidP="007422CB">
            <w:pPr>
              <w:pStyle w:val="Compact"/>
              <w:rPr>
                <w:sz w:val="20"/>
                <w:szCs w:val="20"/>
              </w:rPr>
            </w:pPr>
            <w:r>
              <w:rPr>
                <w:sz w:val="20"/>
                <w:szCs w:val="20"/>
              </w:rPr>
              <w:t xml:space="preserve">   </w:t>
            </w:r>
            <w:r w:rsidR="00887060" w:rsidRPr="00887060">
              <w:rPr>
                <w:sz w:val="20"/>
                <w:szCs w:val="20"/>
              </w:rPr>
              <w:t>C-Section</w:t>
            </w:r>
          </w:p>
        </w:tc>
        <w:tc>
          <w:tcPr>
            <w:tcW w:w="0" w:type="auto"/>
            <w:tcBorders>
              <w:right w:val="single" w:sz="4" w:space="0" w:color="auto"/>
            </w:tcBorders>
          </w:tcPr>
          <w:p w14:paraId="4675418F" w14:textId="77777777" w:rsidR="00887060" w:rsidRPr="00887060" w:rsidRDefault="00887060" w:rsidP="007422CB">
            <w:pPr>
              <w:pStyle w:val="Compact"/>
              <w:jc w:val="center"/>
              <w:rPr>
                <w:sz w:val="20"/>
                <w:szCs w:val="20"/>
              </w:rPr>
            </w:pPr>
            <w:r w:rsidRPr="00887060">
              <w:rPr>
                <w:sz w:val="20"/>
                <w:szCs w:val="20"/>
              </w:rPr>
              <w:t>362 (24%)</w:t>
            </w:r>
          </w:p>
        </w:tc>
      </w:tr>
      <w:tr w:rsidR="00887060" w14:paraId="0DB09A55" w14:textId="77777777" w:rsidTr="00022316">
        <w:tc>
          <w:tcPr>
            <w:tcW w:w="0" w:type="auto"/>
            <w:tcBorders>
              <w:left w:val="single" w:sz="4" w:space="0" w:color="auto"/>
              <w:bottom w:val="single" w:sz="4" w:space="0" w:color="auto"/>
            </w:tcBorders>
          </w:tcPr>
          <w:p w14:paraId="7077DC91" w14:textId="702433A5" w:rsidR="00887060" w:rsidRPr="00887060" w:rsidRDefault="00022316" w:rsidP="007422CB">
            <w:pPr>
              <w:pStyle w:val="Compact"/>
              <w:rPr>
                <w:sz w:val="20"/>
                <w:szCs w:val="20"/>
              </w:rPr>
            </w:pPr>
            <w:r>
              <w:rPr>
                <w:sz w:val="20"/>
                <w:szCs w:val="20"/>
              </w:rPr>
              <w:t xml:space="preserve">   </w:t>
            </w:r>
            <w:r w:rsidR="00887060" w:rsidRPr="00887060">
              <w:rPr>
                <w:sz w:val="20"/>
                <w:szCs w:val="20"/>
              </w:rPr>
              <w:t>Vaginal Delivery</w:t>
            </w:r>
          </w:p>
        </w:tc>
        <w:tc>
          <w:tcPr>
            <w:tcW w:w="0" w:type="auto"/>
            <w:tcBorders>
              <w:bottom w:val="single" w:sz="4" w:space="0" w:color="auto"/>
              <w:right w:val="single" w:sz="4" w:space="0" w:color="auto"/>
            </w:tcBorders>
          </w:tcPr>
          <w:p w14:paraId="4155A53B" w14:textId="77777777" w:rsidR="00887060" w:rsidRPr="00887060" w:rsidRDefault="00887060" w:rsidP="007422CB">
            <w:pPr>
              <w:pStyle w:val="Compact"/>
              <w:jc w:val="center"/>
              <w:rPr>
                <w:sz w:val="20"/>
                <w:szCs w:val="20"/>
              </w:rPr>
            </w:pPr>
            <w:r w:rsidRPr="00887060">
              <w:rPr>
                <w:sz w:val="20"/>
                <w:szCs w:val="20"/>
              </w:rPr>
              <w:t>1,151 (76%)</w:t>
            </w:r>
          </w:p>
        </w:tc>
      </w:tr>
      <w:tr w:rsidR="00887060" w14:paraId="606F131E" w14:textId="77777777" w:rsidTr="00022316">
        <w:tc>
          <w:tcPr>
            <w:tcW w:w="0" w:type="auto"/>
            <w:tcBorders>
              <w:left w:val="single" w:sz="4" w:space="0" w:color="auto"/>
            </w:tcBorders>
          </w:tcPr>
          <w:p w14:paraId="4C6B70E5" w14:textId="77777777" w:rsidR="00887060" w:rsidRPr="00887060" w:rsidRDefault="00887060" w:rsidP="007422CB">
            <w:pPr>
              <w:pStyle w:val="Compact"/>
              <w:rPr>
                <w:sz w:val="20"/>
                <w:szCs w:val="20"/>
              </w:rPr>
            </w:pPr>
            <w:r w:rsidRPr="00887060">
              <w:rPr>
                <w:sz w:val="20"/>
                <w:szCs w:val="20"/>
              </w:rPr>
              <w:t>Pre-eclampsia Status</w:t>
            </w:r>
          </w:p>
        </w:tc>
        <w:tc>
          <w:tcPr>
            <w:tcW w:w="0" w:type="auto"/>
            <w:tcBorders>
              <w:right w:val="single" w:sz="4" w:space="0" w:color="auto"/>
            </w:tcBorders>
          </w:tcPr>
          <w:p w14:paraId="50D6EDD6" w14:textId="77777777" w:rsidR="00887060" w:rsidRPr="00887060" w:rsidRDefault="00887060" w:rsidP="007422CB">
            <w:pPr>
              <w:pStyle w:val="Compact"/>
              <w:rPr>
                <w:sz w:val="20"/>
                <w:szCs w:val="20"/>
              </w:rPr>
            </w:pPr>
          </w:p>
        </w:tc>
      </w:tr>
      <w:tr w:rsidR="00887060" w14:paraId="369081D9" w14:textId="77777777" w:rsidTr="00022316">
        <w:tc>
          <w:tcPr>
            <w:tcW w:w="0" w:type="auto"/>
            <w:tcBorders>
              <w:left w:val="single" w:sz="4" w:space="0" w:color="auto"/>
            </w:tcBorders>
          </w:tcPr>
          <w:p w14:paraId="203D40B7" w14:textId="73B91592" w:rsidR="00887060" w:rsidRPr="00887060" w:rsidRDefault="00022316" w:rsidP="007422CB">
            <w:pPr>
              <w:pStyle w:val="Compact"/>
              <w:rPr>
                <w:sz w:val="20"/>
                <w:szCs w:val="20"/>
              </w:rPr>
            </w:pPr>
            <w:r>
              <w:rPr>
                <w:sz w:val="20"/>
                <w:szCs w:val="20"/>
              </w:rPr>
              <w:t xml:space="preserve">   </w:t>
            </w:r>
            <w:r w:rsidR="00887060" w:rsidRPr="00887060">
              <w:rPr>
                <w:sz w:val="20"/>
                <w:szCs w:val="20"/>
              </w:rPr>
              <w:t>No Pre-eclampsia</w:t>
            </w:r>
          </w:p>
        </w:tc>
        <w:tc>
          <w:tcPr>
            <w:tcW w:w="0" w:type="auto"/>
            <w:tcBorders>
              <w:right w:val="single" w:sz="4" w:space="0" w:color="auto"/>
            </w:tcBorders>
          </w:tcPr>
          <w:p w14:paraId="68E865A6" w14:textId="77777777" w:rsidR="00887060" w:rsidRPr="00887060" w:rsidRDefault="00887060" w:rsidP="007422CB">
            <w:pPr>
              <w:pStyle w:val="Compact"/>
              <w:jc w:val="center"/>
              <w:rPr>
                <w:sz w:val="20"/>
                <w:szCs w:val="20"/>
              </w:rPr>
            </w:pPr>
            <w:r w:rsidRPr="00887060">
              <w:rPr>
                <w:sz w:val="20"/>
                <w:szCs w:val="20"/>
              </w:rPr>
              <w:t>1,339 (88%)</w:t>
            </w:r>
          </w:p>
        </w:tc>
      </w:tr>
      <w:tr w:rsidR="00887060" w14:paraId="2D8628C3" w14:textId="77777777" w:rsidTr="00022316">
        <w:tc>
          <w:tcPr>
            <w:tcW w:w="0" w:type="auto"/>
            <w:tcBorders>
              <w:left w:val="single" w:sz="4" w:space="0" w:color="auto"/>
              <w:bottom w:val="single" w:sz="4" w:space="0" w:color="auto"/>
            </w:tcBorders>
          </w:tcPr>
          <w:p w14:paraId="60D234ED" w14:textId="245A6076" w:rsidR="00887060" w:rsidRPr="00887060" w:rsidRDefault="00022316" w:rsidP="007422CB">
            <w:pPr>
              <w:pStyle w:val="Compact"/>
              <w:rPr>
                <w:sz w:val="20"/>
                <w:szCs w:val="20"/>
              </w:rPr>
            </w:pPr>
            <w:r>
              <w:rPr>
                <w:sz w:val="20"/>
                <w:szCs w:val="20"/>
              </w:rPr>
              <w:t xml:space="preserve">   </w:t>
            </w:r>
            <w:r w:rsidR="00887060" w:rsidRPr="00887060">
              <w:rPr>
                <w:sz w:val="20"/>
                <w:szCs w:val="20"/>
              </w:rPr>
              <w:t>Pre-eclampsia</w:t>
            </w:r>
          </w:p>
        </w:tc>
        <w:tc>
          <w:tcPr>
            <w:tcW w:w="0" w:type="auto"/>
            <w:tcBorders>
              <w:bottom w:val="single" w:sz="4" w:space="0" w:color="auto"/>
              <w:right w:val="single" w:sz="4" w:space="0" w:color="auto"/>
            </w:tcBorders>
          </w:tcPr>
          <w:p w14:paraId="7B4552CB" w14:textId="77777777" w:rsidR="00887060" w:rsidRPr="00887060" w:rsidRDefault="00887060" w:rsidP="007422CB">
            <w:pPr>
              <w:pStyle w:val="Compact"/>
              <w:jc w:val="center"/>
              <w:rPr>
                <w:sz w:val="20"/>
                <w:szCs w:val="20"/>
              </w:rPr>
            </w:pPr>
            <w:r w:rsidRPr="00887060">
              <w:rPr>
                <w:sz w:val="20"/>
                <w:szCs w:val="20"/>
              </w:rPr>
              <w:t>174 (12%)</w:t>
            </w:r>
          </w:p>
        </w:tc>
      </w:tr>
      <w:tr w:rsidR="00887060" w14:paraId="304EB68D" w14:textId="77777777" w:rsidTr="00022316">
        <w:tc>
          <w:tcPr>
            <w:tcW w:w="0" w:type="auto"/>
            <w:tcBorders>
              <w:top w:val="single" w:sz="4" w:space="0" w:color="auto"/>
              <w:left w:val="single" w:sz="4" w:space="0" w:color="auto"/>
            </w:tcBorders>
          </w:tcPr>
          <w:p w14:paraId="4A0219CA" w14:textId="096D4556" w:rsidR="00887060" w:rsidRPr="00887060" w:rsidRDefault="00887060" w:rsidP="007422CB">
            <w:pPr>
              <w:pStyle w:val="Compact"/>
              <w:rPr>
                <w:sz w:val="20"/>
                <w:szCs w:val="20"/>
              </w:rPr>
            </w:pPr>
            <w:r w:rsidRPr="00887060">
              <w:rPr>
                <w:sz w:val="20"/>
                <w:szCs w:val="20"/>
              </w:rPr>
              <w:t>Stillbirth</w:t>
            </w:r>
            <w:r w:rsidR="00022316">
              <w:rPr>
                <w:sz w:val="20"/>
                <w:szCs w:val="20"/>
              </w:rPr>
              <w:t xml:space="preserve"> Status</w:t>
            </w:r>
          </w:p>
        </w:tc>
        <w:tc>
          <w:tcPr>
            <w:tcW w:w="0" w:type="auto"/>
            <w:tcBorders>
              <w:top w:val="single" w:sz="4" w:space="0" w:color="auto"/>
              <w:right w:val="single" w:sz="4" w:space="0" w:color="auto"/>
            </w:tcBorders>
          </w:tcPr>
          <w:p w14:paraId="4DA439EA" w14:textId="77777777" w:rsidR="00887060" w:rsidRPr="00887060" w:rsidRDefault="00887060" w:rsidP="007422CB">
            <w:pPr>
              <w:pStyle w:val="Compact"/>
              <w:rPr>
                <w:sz w:val="20"/>
                <w:szCs w:val="20"/>
              </w:rPr>
            </w:pPr>
          </w:p>
        </w:tc>
      </w:tr>
      <w:tr w:rsidR="00887060" w14:paraId="07C5D048" w14:textId="77777777" w:rsidTr="00022316">
        <w:tc>
          <w:tcPr>
            <w:tcW w:w="0" w:type="auto"/>
            <w:tcBorders>
              <w:left w:val="single" w:sz="4" w:space="0" w:color="auto"/>
            </w:tcBorders>
          </w:tcPr>
          <w:p w14:paraId="56BE1251" w14:textId="40F3F986" w:rsidR="00887060" w:rsidRPr="00887060" w:rsidRDefault="00022316" w:rsidP="007422CB">
            <w:pPr>
              <w:pStyle w:val="Compact"/>
              <w:rPr>
                <w:sz w:val="20"/>
                <w:szCs w:val="20"/>
              </w:rPr>
            </w:pPr>
            <w:r>
              <w:rPr>
                <w:sz w:val="20"/>
                <w:szCs w:val="20"/>
              </w:rPr>
              <w:t xml:space="preserve">   </w:t>
            </w:r>
            <w:r w:rsidR="00887060" w:rsidRPr="00887060">
              <w:rPr>
                <w:sz w:val="20"/>
                <w:szCs w:val="20"/>
              </w:rPr>
              <w:t>Live Birth</w:t>
            </w:r>
          </w:p>
        </w:tc>
        <w:tc>
          <w:tcPr>
            <w:tcW w:w="0" w:type="auto"/>
            <w:tcBorders>
              <w:right w:val="single" w:sz="4" w:space="0" w:color="auto"/>
            </w:tcBorders>
          </w:tcPr>
          <w:p w14:paraId="54D1981F" w14:textId="77777777" w:rsidR="00887060" w:rsidRPr="00887060" w:rsidRDefault="00887060" w:rsidP="007422CB">
            <w:pPr>
              <w:pStyle w:val="Compact"/>
              <w:jc w:val="center"/>
              <w:rPr>
                <w:sz w:val="20"/>
                <w:szCs w:val="20"/>
              </w:rPr>
            </w:pPr>
            <w:r w:rsidRPr="00887060">
              <w:rPr>
                <w:sz w:val="20"/>
                <w:szCs w:val="20"/>
              </w:rPr>
              <w:t>1,495 (99%)</w:t>
            </w:r>
          </w:p>
        </w:tc>
      </w:tr>
      <w:tr w:rsidR="00887060" w14:paraId="6AAD633C" w14:textId="77777777" w:rsidTr="00022316">
        <w:tc>
          <w:tcPr>
            <w:tcW w:w="0" w:type="auto"/>
            <w:tcBorders>
              <w:left w:val="single" w:sz="4" w:space="0" w:color="auto"/>
              <w:bottom w:val="single" w:sz="4" w:space="0" w:color="auto"/>
            </w:tcBorders>
          </w:tcPr>
          <w:p w14:paraId="4AD406AA" w14:textId="2734AE1D" w:rsidR="00887060" w:rsidRPr="00887060" w:rsidRDefault="00022316" w:rsidP="007422CB">
            <w:pPr>
              <w:pStyle w:val="Compact"/>
              <w:rPr>
                <w:sz w:val="20"/>
                <w:szCs w:val="20"/>
              </w:rPr>
            </w:pPr>
            <w:r>
              <w:rPr>
                <w:sz w:val="20"/>
                <w:szCs w:val="20"/>
              </w:rPr>
              <w:t xml:space="preserve">   </w:t>
            </w:r>
            <w:r w:rsidR="00887060" w:rsidRPr="00887060">
              <w:rPr>
                <w:sz w:val="20"/>
                <w:szCs w:val="20"/>
              </w:rPr>
              <w:t>Stillbirth</w:t>
            </w:r>
          </w:p>
        </w:tc>
        <w:tc>
          <w:tcPr>
            <w:tcW w:w="0" w:type="auto"/>
            <w:tcBorders>
              <w:bottom w:val="single" w:sz="4" w:space="0" w:color="auto"/>
              <w:right w:val="single" w:sz="4" w:space="0" w:color="auto"/>
            </w:tcBorders>
          </w:tcPr>
          <w:p w14:paraId="43107D8D" w14:textId="77777777" w:rsidR="00887060" w:rsidRPr="00887060" w:rsidRDefault="00887060" w:rsidP="007422CB">
            <w:pPr>
              <w:pStyle w:val="Compact"/>
              <w:jc w:val="center"/>
              <w:rPr>
                <w:sz w:val="20"/>
                <w:szCs w:val="20"/>
              </w:rPr>
            </w:pPr>
            <w:r w:rsidRPr="00887060">
              <w:rPr>
                <w:sz w:val="20"/>
                <w:szCs w:val="20"/>
              </w:rPr>
              <w:t>18 (1.2%)</w:t>
            </w:r>
          </w:p>
        </w:tc>
      </w:tr>
      <w:tr w:rsidR="00887060" w14:paraId="76A53DAE" w14:textId="77777777" w:rsidTr="00022316">
        <w:tc>
          <w:tcPr>
            <w:tcW w:w="0" w:type="auto"/>
            <w:tcBorders>
              <w:top w:val="single" w:sz="4" w:space="0" w:color="auto"/>
              <w:left w:val="single" w:sz="4" w:space="0" w:color="auto"/>
            </w:tcBorders>
          </w:tcPr>
          <w:p w14:paraId="18C4ECE9" w14:textId="5F98634C" w:rsidR="00887060" w:rsidRPr="00887060" w:rsidRDefault="00022316" w:rsidP="007422CB">
            <w:pPr>
              <w:pStyle w:val="Compact"/>
              <w:rPr>
                <w:sz w:val="20"/>
                <w:szCs w:val="20"/>
              </w:rPr>
            </w:pPr>
            <w:r>
              <w:rPr>
                <w:sz w:val="20"/>
                <w:szCs w:val="20"/>
              </w:rPr>
              <w:t>Single/multiple gestation</w:t>
            </w:r>
          </w:p>
        </w:tc>
        <w:tc>
          <w:tcPr>
            <w:tcW w:w="0" w:type="auto"/>
            <w:tcBorders>
              <w:top w:val="single" w:sz="4" w:space="0" w:color="auto"/>
              <w:right w:val="single" w:sz="4" w:space="0" w:color="auto"/>
            </w:tcBorders>
          </w:tcPr>
          <w:p w14:paraId="55C160A3" w14:textId="77777777" w:rsidR="00887060" w:rsidRPr="00887060" w:rsidRDefault="00887060" w:rsidP="007422CB">
            <w:pPr>
              <w:pStyle w:val="Compact"/>
              <w:rPr>
                <w:sz w:val="20"/>
                <w:szCs w:val="20"/>
              </w:rPr>
            </w:pPr>
          </w:p>
        </w:tc>
      </w:tr>
      <w:tr w:rsidR="00887060" w14:paraId="6A7A8C1B" w14:textId="77777777" w:rsidTr="00022316">
        <w:tc>
          <w:tcPr>
            <w:tcW w:w="0" w:type="auto"/>
            <w:tcBorders>
              <w:left w:val="single" w:sz="4" w:space="0" w:color="auto"/>
            </w:tcBorders>
          </w:tcPr>
          <w:p w14:paraId="3C3C2EB4" w14:textId="6DFB0ABB" w:rsidR="00887060" w:rsidRPr="00887060" w:rsidRDefault="00022316" w:rsidP="007422CB">
            <w:pPr>
              <w:pStyle w:val="Compact"/>
              <w:rPr>
                <w:sz w:val="20"/>
                <w:szCs w:val="20"/>
              </w:rPr>
            </w:pPr>
            <w:r>
              <w:rPr>
                <w:sz w:val="20"/>
                <w:szCs w:val="20"/>
              </w:rPr>
              <w:t xml:space="preserve">   </w:t>
            </w:r>
            <w:r w:rsidR="00887060" w:rsidRPr="00887060">
              <w:rPr>
                <w:sz w:val="20"/>
                <w:szCs w:val="20"/>
              </w:rPr>
              <w:t>Multiple Gestation</w:t>
            </w:r>
          </w:p>
        </w:tc>
        <w:tc>
          <w:tcPr>
            <w:tcW w:w="0" w:type="auto"/>
            <w:tcBorders>
              <w:right w:val="single" w:sz="4" w:space="0" w:color="auto"/>
            </w:tcBorders>
          </w:tcPr>
          <w:p w14:paraId="6BD877D8" w14:textId="77777777" w:rsidR="00887060" w:rsidRPr="00887060" w:rsidRDefault="00887060" w:rsidP="007422CB">
            <w:pPr>
              <w:pStyle w:val="Compact"/>
              <w:jc w:val="center"/>
              <w:rPr>
                <w:sz w:val="20"/>
                <w:szCs w:val="20"/>
              </w:rPr>
            </w:pPr>
            <w:r w:rsidRPr="00887060">
              <w:rPr>
                <w:sz w:val="20"/>
                <w:szCs w:val="20"/>
              </w:rPr>
              <w:t>32 (2.1%)</w:t>
            </w:r>
          </w:p>
        </w:tc>
      </w:tr>
      <w:tr w:rsidR="00887060" w14:paraId="72FCBB30" w14:textId="77777777" w:rsidTr="00022316">
        <w:tc>
          <w:tcPr>
            <w:tcW w:w="0" w:type="auto"/>
            <w:tcBorders>
              <w:left w:val="single" w:sz="4" w:space="0" w:color="auto"/>
              <w:bottom w:val="single" w:sz="4" w:space="0" w:color="auto"/>
            </w:tcBorders>
          </w:tcPr>
          <w:p w14:paraId="7A5DE4B6" w14:textId="221A2208" w:rsidR="00887060" w:rsidRPr="00887060" w:rsidRDefault="00022316" w:rsidP="007422CB">
            <w:pPr>
              <w:pStyle w:val="Compact"/>
              <w:rPr>
                <w:sz w:val="20"/>
                <w:szCs w:val="20"/>
              </w:rPr>
            </w:pPr>
            <w:r>
              <w:rPr>
                <w:sz w:val="20"/>
                <w:szCs w:val="20"/>
              </w:rPr>
              <w:t xml:space="preserve">   </w:t>
            </w:r>
            <w:r w:rsidR="00887060" w:rsidRPr="00887060">
              <w:rPr>
                <w:sz w:val="20"/>
                <w:szCs w:val="20"/>
              </w:rPr>
              <w:t>Singleton</w:t>
            </w:r>
          </w:p>
        </w:tc>
        <w:tc>
          <w:tcPr>
            <w:tcW w:w="0" w:type="auto"/>
            <w:tcBorders>
              <w:bottom w:val="single" w:sz="4" w:space="0" w:color="auto"/>
              <w:right w:val="single" w:sz="4" w:space="0" w:color="auto"/>
            </w:tcBorders>
          </w:tcPr>
          <w:p w14:paraId="7F1C1273" w14:textId="77777777" w:rsidR="00887060" w:rsidRPr="00887060" w:rsidRDefault="00887060" w:rsidP="007422CB">
            <w:pPr>
              <w:pStyle w:val="Compact"/>
              <w:jc w:val="center"/>
              <w:rPr>
                <w:sz w:val="20"/>
                <w:szCs w:val="20"/>
              </w:rPr>
            </w:pPr>
            <w:r w:rsidRPr="00887060">
              <w:rPr>
                <w:sz w:val="20"/>
                <w:szCs w:val="20"/>
              </w:rPr>
              <w:t>1,481 (98%)</w:t>
            </w:r>
          </w:p>
        </w:tc>
      </w:tr>
      <w:tr w:rsidR="00887060" w14:paraId="15065E12" w14:textId="77777777" w:rsidTr="00022316">
        <w:tc>
          <w:tcPr>
            <w:tcW w:w="0" w:type="auto"/>
            <w:tcBorders>
              <w:top w:val="single" w:sz="4" w:space="0" w:color="auto"/>
              <w:left w:val="single" w:sz="4" w:space="0" w:color="auto"/>
            </w:tcBorders>
          </w:tcPr>
          <w:p w14:paraId="64A6128D" w14:textId="77777777" w:rsidR="00887060" w:rsidRPr="00887060" w:rsidRDefault="00887060" w:rsidP="007422CB">
            <w:pPr>
              <w:pStyle w:val="Compact"/>
              <w:rPr>
                <w:sz w:val="20"/>
                <w:szCs w:val="20"/>
              </w:rPr>
            </w:pPr>
            <w:r w:rsidRPr="00887060">
              <w:rPr>
                <w:sz w:val="20"/>
                <w:szCs w:val="20"/>
              </w:rPr>
              <w:t>Maternal Mortality</w:t>
            </w:r>
          </w:p>
        </w:tc>
        <w:tc>
          <w:tcPr>
            <w:tcW w:w="0" w:type="auto"/>
            <w:tcBorders>
              <w:top w:val="single" w:sz="4" w:space="0" w:color="auto"/>
              <w:right w:val="single" w:sz="4" w:space="0" w:color="auto"/>
            </w:tcBorders>
          </w:tcPr>
          <w:p w14:paraId="52229DA3" w14:textId="77777777" w:rsidR="00887060" w:rsidRPr="00887060" w:rsidRDefault="00887060" w:rsidP="007422CB">
            <w:pPr>
              <w:pStyle w:val="Compact"/>
              <w:rPr>
                <w:sz w:val="20"/>
                <w:szCs w:val="20"/>
              </w:rPr>
            </w:pPr>
          </w:p>
        </w:tc>
      </w:tr>
      <w:tr w:rsidR="00887060" w14:paraId="3A2051CB" w14:textId="77777777" w:rsidTr="00022316">
        <w:tc>
          <w:tcPr>
            <w:tcW w:w="0" w:type="auto"/>
            <w:tcBorders>
              <w:left w:val="single" w:sz="4" w:space="0" w:color="auto"/>
            </w:tcBorders>
          </w:tcPr>
          <w:p w14:paraId="30538293" w14:textId="09A29BE6" w:rsidR="00887060" w:rsidRPr="00887060" w:rsidRDefault="00022316" w:rsidP="007422CB">
            <w:pPr>
              <w:pStyle w:val="Compact"/>
              <w:rPr>
                <w:sz w:val="20"/>
                <w:szCs w:val="20"/>
              </w:rPr>
            </w:pPr>
            <w:r>
              <w:rPr>
                <w:sz w:val="20"/>
                <w:szCs w:val="20"/>
              </w:rPr>
              <w:t xml:space="preserve">   </w:t>
            </w:r>
            <w:r w:rsidR="00887060" w:rsidRPr="00887060">
              <w:rPr>
                <w:sz w:val="20"/>
                <w:szCs w:val="20"/>
              </w:rPr>
              <w:t>Mother Alive</w:t>
            </w:r>
          </w:p>
        </w:tc>
        <w:tc>
          <w:tcPr>
            <w:tcW w:w="0" w:type="auto"/>
            <w:tcBorders>
              <w:right w:val="single" w:sz="4" w:space="0" w:color="auto"/>
            </w:tcBorders>
          </w:tcPr>
          <w:p w14:paraId="0EC5176C" w14:textId="77777777" w:rsidR="00887060" w:rsidRPr="00887060" w:rsidRDefault="00887060" w:rsidP="007422CB">
            <w:pPr>
              <w:pStyle w:val="Compact"/>
              <w:jc w:val="center"/>
              <w:rPr>
                <w:sz w:val="20"/>
                <w:szCs w:val="20"/>
              </w:rPr>
            </w:pPr>
            <w:r w:rsidRPr="00887060">
              <w:rPr>
                <w:sz w:val="20"/>
                <w:szCs w:val="20"/>
              </w:rPr>
              <w:t>1,506 (100%)</w:t>
            </w:r>
          </w:p>
        </w:tc>
      </w:tr>
      <w:tr w:rsidR="00887060" w14:paraId="01EA9680" w14:textId="77777777" w:rsidTr="00022316">
        <w:tc>
          <w:tcPr>
            <w:tcW w:w="0" w:type="auto"/>
            <w:tcBorders>
              <w:left w:val="single" w:sz="4" w:space="0" w:color="auto"/>
              <w:bottom w:val="single" w:sz="4" w:space="0" w:color="auto"/>
            </w:tcBorders>
          </w:tcPr>
          <w:p w14:paraId="04EE9E22" w14:textId="47DE2DE7" w:rsidR="00887060" w:rsidRPr="00887060" w:rsidRDefault="00022316" w:rsidP="007422CB">
            <w:pPr>
              <w:pStyle w:val="Compact"/>
              <w:rPr>
                <w:sz w:val="20"/>
                <w:szCs w:val="20"/>
              </w:rPr>
            </w:pPr>
            <w:r>
              <w:rPr>
                <w:sz w:val="20"/>
                <w:szCs w:val="20"/>
              </w:rPr>
              <w:t xml:space="preserve">   </w:t>
            </w:r>
            <w:r w:rsidR="00887060" w:rsidRPr="00887060">
              <w:rPr>
                <w:sz w:val="20"/>
                <w:szCs w:val="20"/>
              </w:rPr>
              <w:t>Unknown</w:t>
            </w:r>
          </w:p>
        </w:tc>
        <w:tc>
          <w:tcPr>
            <w:tcW w:w="0" w:type="auto"/>
            <w:tcBorders>
              <w:bottom w:val="single" w:sz="4" w:space="0" w:color="auto"/>
              <w:right w:val="single" w:sz="4" w:space="0" w:color="auto"/>
            </w:tcBorders>
          </w:tcPr>
          <w:p w14:paraId="51353978" w14:textId="77777777" w:rsidR="00887060" w:rsidRPr="00887060" w:rsidRDefault="00887060" w:rsidP="007422CB">
            <w:pPr>
              <w:pStyle w:val="Compact"/>
              <w:jc w:val="center"/>
              <w:rPr>
                <w:sz w:val="20"/>
                <w:szCs w:val="20"/>
              </w:rPr>
            </w:pPr>
            <w:r w:rsidRPr="00887060">
              <w:rPr>
                <w:sz w:val="20"/>
                <w:szCs w:val="20"/>
              </w:rPr>
              <w:t>7</w:t>
            </w:r>
          </w:p>
        </w:tc>
      </w:tr>
      <w:tr w:rsidR="00887060" w14:paraId="7C642F6A" w14:textId="77777777" w:rsidTr="00022316">
        <w:tc>
          <w:tcPr>
            <w:tcW w:w="0" w:type="auto"/>
            <w:tcBorders>
              <w:top w:val="single" w:sz="4" w:space="0" w:color="auto"/>
              <w:left w:val="single" w:sz="4" w:space="0" w:color="auto"/>
            </w:tcBorders>
          </w:tcPr>
          <w:p w14:paraId="1F9C612D" w14:textId="77777777" w:rsidR="00887060" w:rsidRPr="00887060" w:rsidRDefault="00887060" w:rsidP="007422CB">
            <w:pPr>
              <w:pStyle w:val="Compact"/>
              <w:rPr>
                <w:sz w:val="20"/>
                <w:szCs w:val="20"/>
              </w:rPr>
            </w:pPr>
            <w:r w:rsidRPr="00887060">
              <w:rPr>
                <w:sz w:val="20"/>
                <w:szCs w:val="20"/>
              </w:rPr>
              <w:t>Asthma Status</w:t>
            </w:r>
          </w:p>
        </w:tc>
        <w:tc>
          <w:tcPr>
            <w:tcW w:w="0" w:type="auto"/>
            <w:tcBorders>
              <w:top w:val="single" w:sz="4" w:space="0" w:color="auto"/>
              <w:right w:val="single" w:sz="4" w:space="0" w:color="auto"/>
            </w:tcBorders>
          </w:tcPr>
          <w:p w14:paraId="4D48C96D" w14:textId="77777777" w:rsidR="00887060" w:rsidRPr="00887060" w:rsidRDefault="00887060" w:rsidP="007422CB">
            <w:pPr>
              <w:pStyle w:val="Compact"/>
              <w:rPr>
                <w:sz w:val="20"/>
                <w:szCs w:val="20"/>
              </w:rPr>
            </w:pPr>
          </w:p>
        </w:tc>
      </w:tr>
      <w:tr w:rsidR="00887060" w14:paraId="2873A413" w14:textId="77777777" w:rsidTr="00022316">
        <w:tc>
          <w:tcPr>
            <w:tcW w:w="0" w:type="auto"/>
            <w:tcBorders>
              <w:left w:val="single" w:sz="4" w:space="0" w:color="auto"/>
            </w:tcBorders>
          </w:tcPr>
          <w:p w14:paraId="2A7BE707" w14:textId="1F3B9E37" w:rsidR="00887060" w:rsidRPr="00887060" w:rsidRDefault="00022316" w:rsidP="007422CB">
            <w:pPr>
              <w:pStyle w:val="Compact"/>
              <w:rPr>
                <w:sz w:val="20"/>
                <w:szCs w:val="20"/>
              </w:rPr>
            </w:pPr>
            <w:r>
              <w:rPr>
                <w:sz w:val="20"/>
                <w:szCs w:val="20"/>
              </w:rPr>
              <w:t xml:space="preserve">   </w:t>
            </w:r>
            <w:r w:rsidR="00887060" w:rsidRPr="00887060">
              <w:rPr>
                <w:sz w:val="20"/>
                <w:szCs w:val="20"/>
              </w:rPr>
              <w:t>Asthma</w:t>
            </w:r>
          </w:p>
        </w:tc>
        <w:tc>
          <w:tcPr>
            <w:tcW w:w="0" w:type="auto"/>
            <w:tcBorders>
              <w:right w:val="single" w:sz="4" w:space="0" w:color="auto"/>
            </w:tcBorders>
          </w:tcPr>
          <w:p w14:paraId="6E5AB236" w14:textId="77777777" w:rsidR="00887060" w:rsidRPr="00887060" w:rsidRDefault="00887060" w:rsidP="007422CB">
            <w:pPr>
              <w:pStyle w:val="Compact"/>
              <w:jc w:val="center"/>
              <w:rPr>
                <w:sz w:val="20"/>
                <w:szCs w:val="20"/>
              </w:rPr>
            </w:pPr>
            <w:r w:rsidRPr="00887060">
              <w:rPr>
                <w:sz w:val="20"/>
                <w:szCs w:val="20"/>
              </w:rPr>
              <w:t>178 (12%)</w:t>
            </w:r>
          </w:p>
        </w:tc>
      </w:tr>
      <w:tr w:rsidR="00887060" w14:paraId="67268822" w14:textId="77777777" w:rsidTr="00022316">
        <w:tc>
          <w:tcPr>
            <w:tcW w:w="0" w:type="auto"/>
            <w:tcBorders>
              <w:left w:val="single" w:sz="4" w:space="0" w:color="auto"/>
              <w:bottom w:val="single" w:sz="4" w:space="0" w:color="auto"/>
            </w:tcBorders>
          </w:tcPr>
          <w:p w14:paraId="776A3A73" w14:textId="5FDA1FA0" w:rsidR="00887060" w:rsidRPr="00887060" w:rsidRDefault="00022316" w:rsidP="007422CB">
            <w:pPr>
              <w:pStyle w:val="Compact"/>
              <w:rPr>
                <w:sz w:val="20"/>
                <w:szCs w:val="20"/>
              </w:rPr>
            </w:pPr>
            <w:r>
              <w:rPr>
                <w:sz w:val="20"/>
                <w:szCs w:val="20"/>
              </w:rPr>
              <w:t xml:space="preserve">   </w:t>
            </w:r>
            <w:r w:rsidR="00887060" w:rsidRPr="00887060">
              <w:rPr>
                <w:sz w:val="20"/>
                <w:szCs w:val="20"/>
              </w:rPr>
              <w:t>No Asthma</w:t>
            </w:r>
          </w:p>
        </w:tc>
        <w:tc>
          <w:tcPr>
            <w:tcW w:w="0" w:type="auto"/>
            <w:tcBorders>
              <w:bottom w:val="single" w:sz="4" w:space="0" w:color="auto"/>
              <w:right w:val="single" w:sz="4" w:space="0" w:color="auto"/>
            </w:tcBorders>
          </w:tcPr>
          <w:p w14:paraId="41514DE8" w14:textId="77777777" w:rsidR="00887060" w:rsidRPr="00887060" w:rsidRDefault="00887060" w:rsidP="007422CB">
            <w:pPr>
              <w:pStyle w:val="Compact"/>
              <w:jc w:val="center"/>
              <w:rPr>
                <w:sz w:val="20"/>
                <w:szCs w:val="20"/>
              </w:rPr>
            </w:pPr>
            <w:r w:rsidRPr="00887060">
              <w:rPr>
                <w:sz w:val="20"/>
                <w:szCs w:val="20"/>
              </w:rPr>
              <w:t>1,335 (88%)</w:t>
            </w:r>
          </w:p>
        </w:tc>
      </w:tr>
      <w:tr w:rsidR="00887060" w14:paraId="6EECBEA6" w14:textId="77777777" w:rsidTr="00022316">
        <w:tc>
          <w:tcPr>
            <w:tcW w:w="0" w:type="auto"/>
            <w:tcBorders>
              <w:top w:val="single" w:sz="4" w:space="0" w:color="auto"/>
              <w:left w:val="single" w:sz="4" w:space="0" w:color="auto"/>
            </w:tcBorders>
          </w:tcPr>
          <w:p w14:paraId="4C416BCC" w14:textId="77777777" w:rsidR="00887060" w:rsidRPr="00887060" w:rsidRDefault="00887060" w:rsidP="007422CB">
            <w:pPr>
              <w:pStyle w:val="Compact"/>
              <w:rPr>
                <w:sz w:val="20"/>
                <w:szCs w:val="20"/>
              </w:rPr>
            </w:pPr>
            <w:r w:rsidRPr="00887060">
              <w:rPr>
                <w:sz w:val="20"/>
                <w:szCs w:val="20"/>
              </w:rPr>
              <w:t>Diabetes Status</w:t>
            </w:r>
          </w:p>
        </w:tc>
        <w:tc>
          <w:tcPr>
            <w:tcW w:w="0" w:type="auto"/>
            <w:tcBorders>
              <w:top w:val="single" w:sz="4" w:space="0" w:color="auto"/>
              <w:right w:val="single" w:sz="4" w:space="0" w:color="auto"/>
            </w:tcBorders>
          </w:tcPr>
          <w:p w14:paraId="04D15D16" w14:textId="77777777" w:rsidR="00887060" w:rsidRPr="00887060" w:rsidRDefault="00887060" w:rsidP="007422CB">
            <w:pPr>
              <w:pStyle w:val="Compact"/>
              <w:rPr>
                <w:sz w:val="20"/>
                <w:szCs w:val="20"/>
              </w:rPr>
            </w:pPr>
          </w:p>
        </w:tc>
      </w:tr>
      <w:tr w:rsidR="00887060" w14:paraId="2848BB41" w14:textId="77777777" w:rsidTr="00022316">
        <w:tc>
          <w:tcPr>
            <w:tcW w:w="0" w:type="auto"/>
            <w:tcBorders>
              <w:left w:val="single" w:sz="4" w:space="0" w:color="auto"/>
            </w:tcBorders>
          </w:tcPr>
          <w:p w14:paraId="0B5AE636" w14:textId="2620479C" w:rsidR="00887060" w:rsidRPr="00887060" w:rsidRDefault="00022316" w:rsidP="007422CB">
            <w:pPr>
              <w:pStyle w:val="Compact"/>
              <w:rPr>
                <w:sz w:val="20"/>
                <w:szCs w:val="20"/>
              </w:rPr>
            </w:pPr>
            <w:r>
              <w:rPr>
                <w:sz w:val="20"/>
                <w:szCs w:val="20"/>
              </w:rPr>
              <w:t xml:space="preserve">   </w:t>
            </w:r>
            <w:r w:rsidR="00887060" w:rsidRPr="00887060">
              <w:rPr>
                <w:sz w:val="20"/>
                <w:szCs w:val="20"/>
              </w:rPr>
              <w:t>Diabetes</w:t>
            </w:r>
          </w:p>
        </w:tc>
        <w:tc>
          <w:tcPr>
            <w:tcW w:w="0" w:type="auto"/>
            <w:tcBorders>
              <w:right w:val="single" w:sz="4" w:space="0" w:color="auto"/>
            </w:tcBorders>
          </w:tcPr>
          <w:p w14:paraId="393E5B7E" w14:textId="77777777" w:rsidR="00887060" w:rsidRPr="00887060" w:rsidRDefault="00887060" w:rsidP="007422CB">
            <w:pPr>
              <w:pStyle w:val="Compact"/>
              <w:jc w:val="center"/>
              <w:rPr>
                <w:sz w:val="20"/>
                <w:szCs w:val="20"/>
              </w:rPr>
            </w:pPr>
            <w:r w:rsidRPr="00887060">
              <w:rPr>
                <w:sz w:val="20"/>
                <w:szCs w:val="20"/>
              </w:rPr>
              <w:t>52 (3.4%)</w:t>
            </w:r>
          </w:p>
        </w:tc>
      </w:tr>
      <w:tr w:rsidR="00887060" w14:paraId="352E9F1A" w14:textId="77777777" w:rsidTr="00022316">
        <w:tc>
          <w:tcPr>
            <w:tcW w:w="0" w:type="auto"/>
            <w:tcBorders>
              <w:left w:val="single" w:sz="4" w:space="0" w:color="auto"/>
              <w:bottom w:val="single" w:sz="4" w:space="0" w:color="auto"/>
            </w:tcBorders>
          </w:tcPr>
          <w:p w14:paraId="09447539" w14:textId="516F4076" w:rsidR="00887060" w:rsidRPr="00887060" w:rsidRDefault="00022316" w:rsidP="007422CB">
            <w:pPr>
              <w:pStyle w:val="Compact"/>
              <w:rPr>
                <w:sz w:val="20"/>
                <w:szCs w:val="20"/>
              </w:rPr>
            </w:pPr>
            <w:r>
              <w:rPr>
                <w:sz w:val="20"/>
                <w:szCs w:val="20"/>
              </w:rPr>
              <w:t xml:space="preserve">   </w:t>
            </w:r>
            <w:r w:rsidR="00887060" w:rsidRPr="00887060">
              <w:rPr>
                <w:sz w:val="20"/>
                <w:szCs w:val="20"/>
              </w:rPr>
              <w:t>No Diabetes</w:t>
            </w:r>
          </w:p>
        </w:tc>
        <w:tc>
          <w:tcPr>
            <w:tcW w:w="0" w:type="auto"/>
            <w:tcBorders>
              <w:bottom w:val="single" w:sz="4" w:space="0" w:color="auto"/>
              <w:right w:val="single" w:sz="4" w:space="0" w:color="auto"/>
            </w:tcBorders>
          </w:tcPr>
          <w:p w14:paraId="2251BF8F" w14:textId="77777777" w:rsidR="00887060" w:rsidRPr="00887060" w:rsidRDefault="00887060" w:rsidP="007422CB">
            <w:pPr>
              <w:pStyle w:val="Compact"/>
              <w:jc w:val="center"/>
              <w:rPr>
                <w:sz w:val="20"/>
                <w:szCs w:val="20"/>
              </w:rPr>
            </w:pPr>
            <w:r w:rsidRPr="00887060">
              <w:rPr>
                <w:sz w:val="20"/>
                <w:szCs w:val="20"/>
              </w:rPr>
              <w:t>1,461 (97%)</w:t>
            </w:r>
          </w:p>
        </w:tc>
      </w:tr>
      <w:tr w:rsidR="00887060" w14:paraId="0F8181EB" w14:textId="77777777" w:rsidTr="00022316">
        <w:tc>
          <w:tcPr>
            <w:tcW w:w="0" w:type="auto"/>
            <w:tcBorders>
              <w:top w:val="single" w:sz="4" w:space="0" w:color="auto"/>
              <w:left w:val="single" w:sz="4" w:space="0" w:color="auto"/>
            </w:tcBorders>
          </w:tcPr>
          <w:p w14:paraId="589A6D3A" w14:textId="77777777" w:rsidR="00887060" w:rsidRPr="00887060" w:rsidRDefault="00887060" w:rsidP="007422CB">
            <w:pPr>
              <w:pStyle w:val="Compact"/>
              <w:rPr>
                <w:sz w:val="20"/>
                <w:szCs w:val="20"/>
              </w:rPr>
            </w:pPr>
            <w:r w:rsidRPr="00887060">
              <w:rPr>
                <w:sz w:val="20"/>
                <w:szCs w:val="20"/>
              </w:rPr>
              <w:t>Smoking Status</w:t>
            </w:r>
          </w:p>
        </w:tc>
        <w:tc>
          <w:tcPr>
            <w:tcW w:w="0" w:type="auto"/>
            <w:tcBorders>
              <w:top w:val="single" w:sz="4" w:space="0" w:color="auto"/>
              <w:right w:val="single" w:sz="4" w:space="0" w:color="auto"/>
            </w:tcBorders>
          </w:tcPr>
          <w:p w14:paraId="375D4088" w14:textId="77777777" w:rsidR="00887060" w:rsidRPr="00887060" w:rsidRDefault="00887060" w:rsidP="007422CB">
            <w:pPr>
              <w:pStyle w:val="Compact"/>
              <w:rPr>
                <w:sz w:val="20"/>
                <w:szCs w:val="20"/>
              </w:rPr>
            </w:pPr>
          </w:p>
        </w:tc>
      </w:tr>
      <w:tr w:rsidR="00887060" w14:paraId="7A72BE06" w14:textId="77777777" w:rsidTr="00022316">
        <w:tc>
          <w:tcPr>
            <w:tcW w:w="0" w:type="auto"/>
            <w:tcBorders>
              <w:left w:val="single" w:sz="4" w:space="0" w:color="auto"/>
            </w:tcBorders>
          </w:tcPr>
          <w:p w14:paraId="7661C60C" w14:textId="0F242B14" w:rsidR="00887060" w:rsidRPr="00887060" w:rsidRDefault="00022316" w:rsidP="007422CB">
            <w:pPr>
              <w:pStyle w:val="Compact"/>
              <w:rPr>
                <w:sz w:val="20"/>
                <w:szCs w:val="20"/>
              </w:rPr>
            </w:pPr>
            <w:r>
              <w:rPr>
                <w:sz w:val="20"/>
                <w:szCs w:val="20"/>
              </w:rPr>
              <w:t xml:space="preserve">   </w:t>
            </w:r>
            <w:r w:rsidR="00887060" w:rsidRPr="00887060">
              <w:rPr>
                <w:sz w:val="20"/>
                <w:szCs w:val="20"/>
              </w:rPr>
              <w:t>Ever Smoker</w:t>
            </w:r>
          </w:p>
        </w:tc>
        <w:tc>
          <w:tcPr>
            <w:tcW w:w="0" w:type="auto"/>
            <w:tcBorders>
              <w:right w:val="single" w:sz="4" w:space="0" w:color="auto"/>
            </w:tcBorders>
          </w:tcPr>
          <w:p w14:paraId="1FF7A49C" w14:textId="77777777" w:rsidR="00887060" w:rsidRPr="00887060" w:rsidRDefault="00887060" w:rsidP="007422CB">
            <w:pPr>
              <w:pStyle w:val="Compact"/>
              <w:jc w:val="center"/>
              <w:rPr>
                <w:sz w:val="20"/>
                <w:szCs w:val="20"/>
              </w:rPr>
            </w:pPr>
            <w:r w:rsidRPr="00887060">
              <w:rPr>
                <w:sz w:val="20"/>
                <w:szCs w:val="20"/>
              </w:rPr>
              <w:t>78 (5.2%)</w:t>
            </w:r>
          </w:p>
        </w:tc>
      </w:tr>
      <w:tr w:rsidR="00887060" w14:paraId="702B6F4A" w14:textId="77777777" w:rsidTr="00022316">
        <w:tc>
          <w:tcPr>
            <w:tcW w:w="0" w:type="auto"/>
            <w:tcBorders>
              <w:left w:val="single" w:sz="4" w:space="0" w:color="auto"/>
              <w:bottom w:val="single" w:sz="4" w:space="0" w:color="auto"/>
            </w:tcBorders>
          </w:tcPr>
          <w:p w14:paraId="1EF0E5B7" w14:textId="324D357D" w:rsidR="00887060" w:rsidRPr="00887060" w:rsidRDefault="00022316" w:rsidP="007422CB">
            <w:pPr>
              <w:pStyle w:val="Compact"/>
              <w:rPr>
                <w:sz w:val="20"/>
                <w:szCs w:val="20"/>
              </w:rPr>
            </w:pPr>
            <w:r>
              <w:rPr>
                <w:sz w:val="20"/>
                <w:szCs w:val="20"/>
              </w:rPr>
              <w:t xml:space="preserve">   </w:t>
            </w:r>
            <w:r w:rsidR="00887060" w:rsidRPr="00887060">
              <w:rPr>
                <w:sz w:val="20"/>
                <w:szCs w:val="20"/>
              </w:rPr>
              <w:t>Non-Smoker</w:t>
            </w:r>
          </w:p>
        </w:tc>
        <w:tc>
          <w:tcPr>
            <w:tcW w:w="0" w:type="auto"/>
            <w:tcBorders>
              <w:bottom w:val="single" w:sz="4" w:space="0" w:color="auto"/>
              <w:right w:val="single" w:sz="4" w:space="0" w:color="auto"/>
            </w:tcBorders>
          </w:tcPr>
          <w:p w14:paraId="1AA968F0" w14:textId="77777777" w:rsidR="00887060" w:rsidRPr="00887060" w:rsidRDefault="00887060" w:rsidP="007422CB">
            <w:pPr>
              <w:pStyle w:val="Compact"/>
              <w:jc w:val="center"/>
              <w:rPr>
                <w:sz w:val="20"/>
                <w:szCs w:val="20"/>
              </w:rPr>
            </w:pPr>
            <w:r w:rsidRPr="00887060">
              <w:rPr>
                <w:sz w:val="20"/>
                <w:szCs w:val="20"/>
              </w:rPr>
              <w:t>1,435 (95%)</w:t>
            </w:r>
          </w:p>
        </w:tc>
      </w:tr>
      <w:tr w:rsidR="00887060" w14:paraId="5E520FAA" w14:textId="77777777" w:rsidTr="00022316">
        <w:tc>
          <w:tcPr>
            <w:tcW w:w="0" w:type="auto"/>
            <w:tcBorders>
              <w:top w:val="single" w:sz="4" w:space="0" w:color="auto"/>
              <w:left w:val="single" w:sz="4" w:space="0" w:color="auto"/>
            </w:tcBorders>
          </w:tcPr>
          <w:p w14:paraId="4D595B40" w14:textId="77777777" w:rsidR="00887060" w:rsidRPr="00887060" w:rsidRDefault="00887060" w:rsidP="007422CB">
            <w:pPr>
              <w:pStyle w:val="Compact"/>
              <w:rPr>
                <w:sz w:val="20"/>
                <w:szCs w:val="20"/>
              </w:rPr>
            </w:pPr>
            <w:r w:rsidRPr="00887060">
              <w:rPr>
                <w:sz w:val="20"/>
                <w:szCs w:val="20"/>
              </w:rPr>
              <w:t>Average PM Score in Zip Code of Residence</w:t>
            </w:r>
          </w:p>
        </w:tc>
        <w:tc>
          <w:tcPr>
            <w:tcW w:w="0" w:type="auto"/>
            <w:tcBorders>
              <w:top w:val="single" w:sz="4" w:space="0" w:color="auto"/>
              <w:right w:val="single" w:sz="4" w:space="0" w:color="auto"/>
            </w:tcBorders>
          </w:tcPr>
          <w:p w14:paraId="780E7958" w14:textId="77777777" w:rsidR="00887060" w:rsidRPr="00887060" w:rsidRDefault="00887060" w:rsidP="007422CB">
            <w:pPr>
              <w:pStyle w:val="Compact"/>
              <w:jc w:val="center"/>
              <w:rPr>
                <w:sz w:val="20"/>
                <w:szCs w:val="20"/>
              </w:rPr>
            </w:pPr>
            <w:r w:rsidRPr="00887060">
              <w:rPr>
                <w:sz w:val="20"/>
                <w:szCs w:val="20"/>
              </w:rPr>
              <w:t>9.17 (8.53, 9.65)</w:t>
            </w:r>
          </w:p>
        </w:tc>
      </w:tr>
      <w:tr w:rsidR="00887060" w14:paraId="5B886B44" w14:textId="77777777" w:rsidTr="00022316">
        <w:tc>
          <w:tcPr>
            <w:tcW w:w="0" w:type="auto"/>
            <w:tcBorders>
              <w:left w:val="single" w:sz="4" w:space="0" w:color="auto"/>
              <w:bottom w:val="single" w:sz="4" w:space="0" w:color="auto"/>
            </w:tcBorders>
          </w:tcPr>
          <w:p w14:paraId="0D2FDFC7" w14:textId="695BC01D" w:rsidR="00887060" w:rsidRPr="00887060" w:rsidRDefault="00022316" w:rsidP="007422CB">
            <w:pPr>
              <w:pStyle w:val="Compact"/>
              <w:rPr>
                <w:sz w:val="20"/>
                <w:szCs w:val="20"/>
              </w:rPr>
            </w:pPr>
            <w:r>
              <w:rPr>
                <w:sz w:val="20"/>
                <w:szCs w:val="20"/>
              </w:rPr>
              <w:t xml:space="preserve">   </w:t>
            </w:r>
            <w:r w:rsidR="00887060" w:rsidRPr="00887060">
              <w:rPr>
                <w:sz w:val="20"/>
                <w:szCs w:val="20"/>
              </w:rPr>
              <w:t>Unknown</w:t>
            </w:r>
          </w:p>
        </w:tc>
        <w:tc>
          <w:tcPr>
            <w:tcW w:w="0" w:type="auto"/>
            <w:tcBorders>
              <w:bottom w:val="single" w:sz="4" w:space="0" w:color="auto"/>
              <w:right w:val="single" w:sz="4" w:space="0" w:color="auto"/>
            </w:tcBorders>
          </w:tcPr>
          <w:p w14:paraId="00A881CE" w14:textId="77777777" w:rsidR="00887060" w:rsidRPr="00887060" w:rsidRDefault="00887060" w:rsidP="007422CB">
            <w:pPr>
              <w:pStyle w:val="Compact"/>
              <w:jc w:val="center"/>
              <w:rPr>
                <w:sz w:val="20"/>
                <w:szCs w:val="20"/>
              </w:rPr>
            </w:pPr>
            <w:r w:rsidRPr="00887060">
              <w:rPr>
                <w:sz w:val="20"/>
                <w:szCs w:val="20"/>
              </w:rPr>
              <w:t>484</w:t>
            </w:r>
          </w:p>
        </w:tc>
      </w:tr>
      <w:tr w:rsidR="00887060" w14:paraId="055CC96E" w14:textId="77777777" w:rsidTr="00022316">
        <w:tc>
          <w:tcPr>
            <w:tcW w:w="0" w:type="auto"/>
            <w:tcBorders>
              <w:top w:val="single" w:sz="4" w:space="0" w:color="auto"/>
              <w:left w:val="single" w:sz="4" w:space="0" w:color="auto"/>
            </w:tcBorders>
          </w:tcPr>
          <w:p w14:paraId="1B87E8B9" w14:textId="77777777" w:rsidR="00887060" w:rsidRPr="00887060" w:rsidRDefault="00887060" w:rsidP="007422CB">
            <w:pPr>
              <w:pStyle w:val="Compact"/>
              <w:rPr>
                <w:sz w:val="20"/>
                <w:szCs w:val="20"/>
              </w:rPr>
            </w:pPr>
            <w:r w:rsidRPr="00887060">
              <w:rPr>
                <w:sz w:val="20"/>
                <w:szCs w:val="20"/>
              </w:rPr>
              <w:t>NEVI in Zip Code of Residence</w:t>
            </w:r>
          </w:p>
        </w:tc>
        <w:tc>
          <w:tcPr>
            <w:tcW w:w="0" w:type="auto"/>
            <w:tcBorders>
              <w:top w:val="single" w:sz="4" w:space="0" w:color="auto"/>
              <w:right w:val="single" w:sz="4" w:space="0" w:color="auto"/>
            </w:tcBorders>
          </w:tcPr>
          <w:p w14:paraId="47F7B80E" w14:textId="77777777" w:rsidR="00887060" w:rsidRPr="00887060" w:rsidRDefault="00887060" w:rsidP="007422CB">
            <w:pPr>
              <w:pStyle w:val="Compact"/>
              <w:jc w:val="center"/>
              <w:rPr>
                <w:sz w:val="20"/>
                <w:szCs w:val="20"/>
              </w:rPr>
            </w:pPr>
            <w:r w:rsidRPr="00887060">
              <w:rPr>
                <w:sz w:val="20"/>
                <w:szCs w:val="20"/>
              </w:rPr>
              <w:t>0.38 (0.33, 0.43)</w:t>
            </w:r>
          </w:p>
        </w:tc>
      </w:tr>
      <w:tr w:rsidR="00887060" w14:paraId="0AE7162D" w14:textId="77777777" w:rsidTr="00022316">
        <w:tc>
          <w:tcPr>
            <w:tcW w:w="0" w:type="auto"/>
            <w:tcBorders>
              <w:left w:val="single" w:sz="4" w:space="0" w:color="auto"/>
              <w:bottom w:val="single" w:sz="4" w:space="0" w:color="auto"/>
            </w:tcBorders>
          </w:tcPr>
          <w:p w14:paraId="53A83A5B" w14:textId="6FFE5F78" w:rsidR="00887060" w:rsidRPr="00887060" w:rsidRDefault="00022316" w:rsidP="007422CB">
            <w:pPr>
              <w:pStyle w:val="Compact"/>
              <w:rPr>
                <w:sz w:val="20"/>
                <w:szCs w:val="20"/>
              </w:rPr>
            </w:pPr>
            <w:r>
              <w:rPr>
                <w:sz w:val="20"/>
                <w:szCs w:val="20"/>
              </w:rPr>
              <w:t xml:space="preserve">   </w:t>
            </w:r>
            <w:r w:rsidR="00887060" w:rsidRPr="00887060">
              <w:rPr>
                <w:sz w:val="20"/>
                <w:szCs w:val="20"/>
              </w:rPr>
              <w:t>Unknown</w:t>
            </w:r>
          </w:p>
        </w:tc>
        <w:tc>
          <w:tcPr>
            <w:tcW w:w="0" w:type="auto"/>
            <w:tcBorders>
              <w:bottom w:val="single" w:sz="4" w:space="0" w:color="auto"/>
              <w:right w:val="single" w:sz="4" w:space="0" w:color="auto"/>
            </w:tcBorders>
          </w:tcPr>
          <w:p w14:paraId="77D39424" w14:textId="77777777" w:rsidR="00887060" w:rsidRPr="00887060" w:rsidRDefault="00887060" w:rsidP="007422CB">
            <w:pPr>
              <w:pStyle w:val="Compact"/>
              <w:jc w:val="center"/>
              <w:rPr>
                <w:sz w:val="20"/>
                <w:szCs w:val="20"/>
              </w:rPr>
            </w:pPr>
            <w:r w:rsidRPr="00887060">
              <w:rPr>
                <w:sz w:val="20"/>
                <w:szCs w:val="20"/>
              </w:rPr>
              <w:t>492</w:t>
            </w:r>
          </w:p>
        </w:tc>
      </w:tr>
      <w:tr w:rsidR="00887060" w14:paraId="4245664D" w14:textId="77777777" w:rsidTr="00022316">
        <w:tc>
          <w:tcPr>
            <w:tcW w:w="0" w:type="auto"/>
            <w:tcBorders>
              <w:top w:val="single" w:sz="4" w:space="0" w:color="auto"/>
              <w:left w:val="single" w:sz="4" w:space="0" w:color="auto"/>
            </w:tcBorders>
          </w:tcPr>
          <w:p w14:paraId="5E4A81CE" w14:textId="77777777" w:rsidR="00887060" w:rsidRPr="00887060" w:rsidRDefault="00887060" w:rsidP="007422CB">
            <w:pPr>
              <w:pStyle w:val="Compact"/>
              <w:rPr>
                <w:sz w:val="20"/>
                <w:szCs w:val="20"/>
              </w:rPr>
            </w:pPr>
            <w:r w:rsidRPr="00887060">
              <w:rPr>
                <w:sz w:val="20"/>
                <w:szCs w:val="20"/>
              </w:rPr>
              <w:t>Quartiles of Average PM Score</w:t>
            </w:r>
          </w:p>
        </w:tc>
        <w:tc>
          <w:tcPr>
            <w:tcW w:w="0" w:type="auto"/>
            <w:tcBorders>
              <w:top w:val="single" w:sz="4" w:space="0" w:color="auto"/>
              <w:right w:val="single" w:sz="4" w:space="0" w:color="auto"/>
            </w:tcBorders>
          </w:tcPr>
          <w:p w14:paraId="6B62A449" w14:textId="77777777" w:rsidR="00887060" w:rsidRPr="00887060" w:rsidRDefault="00887060" w:rsidP="007422CB">
            <w:pPr>
              <w:pStyle w:val="Compact"/>
              <w:rPr>
                <w:sz w:val="20"/>
                <w:szCs w:val="20"/>
              </w:rPr>
            </w:pPr>
          </w:p>
        </w:tc>
      </w:tr>
      <w:tr w:rsidR="00887060" w14:paraId="34F392C8" w14:textId="77777777" w:rsidTr="00022316">
        <w:tc>
          <w:tcPr>
            <w:tcW w:w="0" w:type="auto"/>
            <w:tcBorders>
              <w:left w:val="single" w:sz="4" w:space="0" w:color="auto"/>
            </w:tcBorders>
          </w:tcPr>
          <w:p w14:paraId="7B727375" w14:textId="4945CBD2" w:rsidR="00887060" w:rsidRPr="00887060" w:rsidRDefault="00022316" w:rsidP="007422CB">
            <w:pPr>
              <w:pStyle w:val="Compact"/>
              <w:rPr>
                <w:sz w:val="20"/>
                <w:szCs w:val="20"/>
              </w:rPr>
            </w:pPr>
            <w:r>
              <w:rPr>
                <w:sz w:val="20"/>
                <w:szCs w:val="20"/>
              </w:rPr>
              <w:t xml:space="preserve">   </w:t>
            </w:r>
            <w:r w:rsidR="00887060" w:rsidRPr="00887060">
              <w:rPr>
                <w:sz w:val="20"/>
                <w:szCs w:val="20"/>
              </w:rPr>
              <w:t>1</w:t>
            </w:r>
          </w:p>
        </w:tc>
        <w:tc>
          <w:tcPr>
            <w:tcW w:w="0" w:type="auto"/>
            <w:tcBorders>
              <w:right w:val="single" w:sz="4" w:space="0" w:color="auto"/>
            </w:tcBorders>
          </w:tcPr>
          <w:p w14:paraId="70C44763" w14:textId="77777777" w:rsidR="00887060" w:rsidRPr="00887060" w:rsidRDefault="00887060" w:rsidP="007422CB">
            <w:pPr>
              <w:pStyle w:val="Compact"/>
              <w:jc w:val="center"/>
              <w:rPr>
                <w:sz w:val="20"/>
                <w:szCs w:val="20"/>
              </w:rPr>
            </w:pPr>
            <w:r w:rsidRPr="00887060">
              <w:rPr>
                <w:sz w:val="20"/>
                <w:szCs w:val="20"/>
              </w:rPr>
              <w:t>151 (15%)</w:t>
            </w:r>
          </w:p>
        </w:tc>
      </w:tr>
      <w:tr w:rsidR="00887060" w14:paraId="04543C8E" w14:textId="77777777" w:rsidTr="00022316">
        <w:tc>
          <w:tcPr>
            <w:tcW w:w="0" w:type="auto"/>
            <w:tcBorders>
              <w:left w:val="single" w:sz="4" w:space="0" w:color="auto"/>
            </w:tcBorders>
          </w:tcPr>
          <w:p w14:paraId="7F52D932" w14:textId="394A8901" w:rsidR="00887060" w:rsidRPr="00887060" w:rsidRDefault="00022316" w:rsidP="007422CB">
            <w:pPr>
              <w:pStyle w:val="Compact"/>
              <w:rPr>
                <w:sz w:val="20"/>
                <w:szCs w:val="20"/>
              </w:rPr>
            </w:pPr>
            <w:r>
              <w:rPr>
                <w:sz w:val="20"/>
                <w:szCs w:val="20"/>
              </w:rPr>
              <w:t xml:space="preserve">   </w:t>
            </w:r>
            <w:r w:rsidR="00887060" w:rsidRPr="00887060">
              <w:rPr>
                <w:sz w:val="20"/>
                <w:szCs w:val="20"/>
              </w:rPr>
              <w:t>2</w:t>
            </w:r>
          </w:p>
        </w:tc>
        <w:tc>
          <w:tcPr>
            <w:tcW w:w="0" w:type="auto"/>
            <w:tcBorders>
              <w:right w:val="single" w:sz="4" w:space="0" w:color="auto"/>
            </w:tcBorders>
          </w:tcPr>
          <w:p w14:paraId="28634B80" w14:textId="77777777" w:rsidR="00887060" w:rsidRPr="00887060" w:rsidRDefault="00887060" w:rsidP="007422CB">
            <w:pPr>
              <w:pStyle w:val="Compact"/>
              <w:jc w:val="center"/>
              <w:rPr>
                <w:sz w:val="20"/>
                <w:szCs w:val="20"/>
              </w:rPr>
            </w:pPr>
            <w:r w:rsidRPr="00887060">
              <w:rPr>
                <w:sz w:val="20"/>
                <w:szCs w:val="20"/>
              </w:rPr>
              <w:t>283 (28%)</w:t>
            </w:r>
          </w:p>
        </w:tc>
      </w:tr>
      <w:tr w:rsidR="00887060" w14:paraId="49567B1A" w14:textId="77777777" w:rsidTr="00022316">
        <w:tc>
          <w:tcPr>
            <w:tcW w:w="0" w:type="auto"/>
            <w:tcBorders>
              <w:left w:val="single" w:sz="4" w:space="0" w:color="auto"/>
            </w:tcBorders>
          </w:tcPr>
          <w:p w14:paraId="2EA3B8E7" w14:textId="081686D2" w:rsidR="00887060" w:rsidRPr="00887060" w:rsidRDefault="00022316" w:rsidP="007422CB">
            <w:pPr>
              <w:pStyle w:val="Compact"/>
              <w:rPr>
                <w:sz w:val="20"/>
                <w:szCs w:val="20"/>
              </w:rPr>
            </w:pPr>
            <w:r>
              <w:rPr>
                <w:sz w:val="20"/>
                <w:szCs w:val="20"/>
              </w:rPr>
              <w:t xml:space="preserve">   </w:t>
            </w:r>
            <w:r w:rsidR="00887060" w:rsidRPr="00887060">
              <w:rPr>
                <w:sz w:val="20"/>
                <w:szCs w:val="20"/>
              </w:rPr>
              <w:t>3</w:t>
            </w:r>
          </w:p>
        </w:tc>
        <w:tc>
          <w:tcPr>
            <w:tcW w:w="0" w:type="auto"/>
            <w:tcBorders>
              <w:right w:val="single" w:sz="4" w:space="0" w:color="auto"/>
            </w:tcBorders>
          </w:tcPr>
          <w:p w14:paraId="59F93AED" w14:textId="77777777" w:rsidR="00887060" w:rsidRPr="00887060" w:rsidRDefault="00887060" w:rsidP="007422CB">
            <w:pPr>
              <w:pStyle w:val="Compact"/>
              <w:jc w:val="center"/>
              <w:rPr>
                <w:sz w:val="20"/>
                <w:szCs w:val="20"/>
              </w:rPr>
            </w:pPr>
            <w:r w:rsidRPr="00887060">
              <w:rPr>
                <w:sz w:val="20"/>
                <w:szCs w:val="20"/>
              </w:rPr>
              <w:t>345 (34%)</w:t>
            </w:r>
          </w:p>
        </w:tc>
      </w:tr>
      <w:tr w:rsidR="00887060" w14:paraId="3A8B9980" w14:textId="77777777" w:rsidTr="00022316">
        <w:tc>
          <w:tcPr>
            <w:tcW w:w="0" w:type="auto"/>
            <w:tcBorders>
              <w:left w:val="single" w:sz="4" w:space="0" w:color="auto"/>
            </w:tcBorders>
          </w:tcPr>
          <w:p w14:paraId="15BD6898" w14:textId="79DDE6C8" w:rsidR="00887060" w:rsidRPr="00887060" w:rsidRDefault="00022316" w:rsidP="007422CB">
            <w:pPr>
              <w:pStyle w:val="Compact"/>
              <w:rPr>
                <w:sz w:val="20"/>
                <w:szCs w:val="20"/>
              </w:rPr>
            </w:pPr>
            <w:r>
              <w:rPr>
                <w:sz w:val="20"/>
                <w:szCs w:val="20"/>
              </w:rPr>
              <w:t xml:space="preserve">   </w:t>
            </w:r>
            <w:r w:rsidR="00887060" w:rsidRPr="00887060">
              <w:rPr>
                <w:sz w:val="20"/>
                <w:szCs w:val="20"/>
              </w:rPr>
              <w:t>4</w:t>
            </w:r>
          </w:p>
        </w:tc>
        <w:tc>
          <w:tcPr>
            <w:tcW w:w="0" w:type="auto"/>
            <w:tcBorders>
              <w:right w:val="single" w:sz="4" w:space="0" w:color="auto"/>
            </w:tcBorders>
          </w:tcPr>
          <w:p w14:paraId="1E624206" w14:textId="77777777" w:rsidR="00887060" w:rsidRPr="00887060" w:rsidRDefault="00887060" w:rsidP="007422CB">
            <w:pPr>
              <w:pStyle w:val="Compact"/>
              <w:jc w:val="center"/>
              <w:rPr>
                <w:sz w:val="20"/>
                <w:szCs w:val="20"/>
              </w:rPr>
            </w:pPr>
            <w:r w:rsidRPr="00887060">
              <w:rPr>
                <w:sz w:val="20"/>
                <w:szCs w:val="20"/>
              </w:rPr>
              <w:t>250 (24%)</w:t>
            </w:r>
          </w:p>
        </w:tc>
      </w:tr>
      <w:tr w:rsidR="00887060" w14:paraId="1AFACDB3" w14:textId="77777777" w:rsidTr="002A4DC2">
        <w:tc>
          <w:tcPr>
            <w:tcW w:w="0" w:type="auto"/>
            <w:tcBorders>
              <w:left w:val="single" w:sz="4" w:space="0" w:color="auto"/>
            </w:tcBorders>
          </w:tcPr>
          <w:p w14:paraId="188C9B9E" w14:textId="3D4FDA22" w:rsidR="00887060" w:rsidRPr="00887060" w:rsidRDefault="00022316" w:rsidP="007422CB">
            <w:pPr>
              <w:pStyle w:val="Compact"/>
              <w:rPr>
                <w:sz w:val="20"/>
                <w:szCs w:val="20"/>
              </w:rPr>
            </w:pPr>
            <w:r>
              <w:rPr>
                <w:sz w:val="20"/>
                <w:szCs w:val="20"/>
              </w:rPr>
              <w:t xml:space="preserve">   </w:t>
            </w:r>
            <w:r w:rsidR="00887060" w:rsidRPr="00887060">
              <w:rPr>
                <w:sz w:val="20"/>
                <w:szCs w:val="20"/>
              </w:rPr>
              <w:t>Unknown</w:t>
            </w:r>
          </w:p>
        </w:tc>
        <w:tc>
          <w:tcPr>
            <w:tcW w:w="0" w:type="auto"/>
            <w:tcBorders>
              <w:right w:val="single" w:sz="4" w:space="0" w:color="auto"/>
            </w:tcBorders>
          </w:tcPr>
          <w:p w14:paraId="653AC740" w14:textId="77777777" w:rsidR="00887060" w:rsidRPr="00887060" w:rsidRDefault="00887060" w:rsidP="007422CB">
            <w:pPr>
              <w:pStyle w:val="Compact"/>
              <w:jc w:val="center"/>
              <w:rPr>
                <w:sz w:val="20"/>
                <w:szCs w:val="20"/>
              </w:rPr>
            </w:pPr>
            <w:r w:rsidRPr="00887060">
              <w:rPr>
                <w:sz w:val="20"/>
                <w:szCs w:val="20"/>
              </w:rPr>
              <w:t>484</w:t>
            </w:r>
          </w:p>
        </w:tc>
      </w:tr>
      <w:tr w:rsidR="002A4DC2" w14:paraId="4046295C" w14:textId="77777777" w:rsidTr="007422CB">
        <w:tc>
          <w:tcPr>
            <w:tcW w:w="0" w:type="auto"/>
            <w:tcBorders>
              <w:top w:val="single" w:sz="4" w:space="0" w:color="auto"/>
            </w:tcBorders>
          </w:tcPr>
          <w:p w14:paraId="5462ABE9" w14:textId="77777777" w:rsidR="002A4DC2" w:rsidRPr="00887060" w:rsidRDefault="002A4DC2" w:rsidP="007422CB">
            <w:pPr>
              <w:pStyle w:val="Compact"/>
              <w:rPr>
                <w:sz w:val="20"/>
                <w:szCs w:val="20"/>
              </w:rPr>
            </w:pPr>
            <w:r w:rsidRPr="002A4DC2">
              <w:rPr>
                <w:sz w:val="18"/>
                <w:szCs w:val="18"/>
                <w:vertAlign w:val="superscript"/>
              </w:rPr>
              <w:t>1</w:t>
            </w:r>
            <w:r w:rsidRPr="002A4DC2">
              <w:rPr>
                <w:sz w:val="18"/>
                <w:szCs w:val="18"/>
              </w:rPr>
              <w:t>Median (IQR) or Frequency (%)</w:t>
            </w:r>
          </w:p>
        </w:tc>
        <w:tc>
          <w:tcPr>
            <w:tcW w:w="0" w:type="auto"/>
            <w:tcBorders>
              <w:top w:val="single" w:sz="4" w:space="0" w:color="auto"/>
            </w:tcBorders>
          </w:tcPr>
          <w:p w14:paraId="6869DCBD" w14:textId="77777777" w:rsidR="002A4DC2" w:rsidRPr="00887060" w:rsidRDefault="002A4DC2" w:rsidP="007422CB">
            <w:pPr>
              <w:pStyle w:val="Compact"/>
              <w:jc w:val="center"/>
              <w:rPr>
                <w:sz w:val="20"/>
                <w:szCs w:val="20"/>
              </w:rPr>
            </w:pPr>
          </w:p>
        </w:tc>
      </w:tr>
    </w:tbl>
    <w:p w14:paraId="551C61A9" w14:textId="77777777" w:rsidR="00887060" w:rsidRDefault="00887060" w:rsidP="002558A4">
      <w:pPr>
        <w:rPr>
          <w:rFonts w:ascii="Times New Roman" w:hAnsi="Times New Roman" w:cs="Times New Roman"/>
          <w:sz w:val="24"/>
          <w:szCs w:val="24"/>
        </w:rPr>
      </w:pPr>
    </w:p>
    <w:p w14:paraId="77DB4F5E" w14:textId="7C703A63" w:rsidR="00022316" w:rsidRDefault="00022316" w:rsidP="00022316">
      <w:pPr>
        <w:pStyle w:val="TableCaption"/>
      </w:pPr>
      <w:r>
        <w:rPr>
          <w:b/>
          <w:bCs/>
        </w:rPr>
        <w:lastRenderedPageBreak/>
        <w:t xml:space="preserve">Table 1b. Patient Characteristics during </w:t>
      </w:r>
      <w:r>
        <w:rPr>
          <w:b/>
          <w:bCs/>
        </w:rPr>
        <w:t>Wave</w:t>
      </w:r>
      <w:r>
        <w:rPr>
          <w:b/>
          <w:bCs/>
        </w:rPr>
        <w:t xml:space="preserve"> 2</w:t>
      </w:r>
    </w:p>
    <w:tbl>
      <w:tblPr>
        <w:tblStyle w:val="Table"/>
        <w:tblW w:w="0" w:type="auto"/>
        <w:tblLook w:val="0020" w:firstRow="1" w:lastRow="0" w:firstColumn="0" w:lastColumn="0" w:noHBand="0" w:noVBand="0"/>
        <w:tblCaption w:val="Table 1b. Patient Characteristics during phase 2"/>
      </w:tblPr>
      <w:tblGrid>
        <w:gridCol w:w="3728"/>
        <w:gridCol w:w="1542"/>
      </w:tblGrid>
      <w:tr w:rsidR="00022316" w14:paraId="417CB242" w14:textId="77777777" w:rsidTr="00692FC5">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tcBorders>
          </w:tcPr>
          <w:p w14:paraId="3380BA4B" w14:textId="19201871" w:rsidR="00022316" w:rsidRPr="00692FC5" w:rsidRDefault="00692FC5" w:rsidP="007422CB">
            <w:pPr>
              <w:pStyle w:val="Compact"/>
              <w:rPr>
                <w:sz w:val="20"/>
                <w:szCs w:val="20"/>
              </w:rPr>
            </w:pPr>
            <w:r w:rsidRPr="00692FC5">
              <w:rPr>
                <w:b/>
                <w:bCs/>
                <w:sz w:val="20"/>
                <w:szCs w:val="20"/>
              </w:rPr>
              <w:t>Characteristic</w:t>
            </w:r>
          </w:p>
        </w:tc>
        <w:tc>
          <w:tcPr>
            <w:tcW w:w="0" w:type="auto"/>
            <w:tcBorders>
              <w:top w:val="single" w:sz="4" w:space="0" w:color="auto"/>
              <w:bottom w:val="single" w:sz="4" w:space="0" w:color="auto"/>
              <w:right w:val="single" w:sz="4" w:space="0" w:color="auto"/>
            </w:tcBorders>
          </w:tcPr>
          <w:p w14:paraId="6C778D82" w14:textId="4E504F93" w:rsidR="00022316" w:rsidRPr="002A4DC2" w:rsidRDefault="00022316" w:rsidP="007422CB">
            <w:pPr>
              <w:pStyle w:val="Compact"/>
              <w:jc w:val="center"/>
              <w:rPr>
                <w:sz w:val="20"/>
                <w:szCs w:val="20"/>
                <w:vertAlign w:val="superscript"/>
              </w:rPr>
            </w:pPr>
            <w:r w:rsidRPr="00692FC5">
              <w:rPr>
                <w:b/>
                <w:bCs/>
                <w:sz w:val="20"/>
                <w:szCs w:val="20"/>
              </w:rPr>
              <w:t>N = 2,578</w:t>
            </w:r>
            <w:r w:rsidR="002A4DC2">
              <w:rPr>
                <w:sz w:val="20"/>
                <w:szCs w:val="20"/>
                <w:vertAlign w:val="superscript"/>
              </w:rPr>
              <w:t>1</w:t>
            </w:r>
          </w:p>
        </w:tc>
      </w:tr>
      <w:tr w:rsidR="00022316" w14:paraId="66246FA6" w14:textId="77777777" w:rsidTr="00692FC5">
        <w:tc>
          <w:tcPr>
            <w:tcW w:w="0" w:type="auto"/>
            <w:tcBorders>
              <w:top w:val="single" w:sz="4" w:space="0" w:color="auto"/>
              <w:left w:val="single" w:sz="4" w:space="0" w:color="auto"/>
              <w:bottom w:val="single" w:sz="4" w:space="0" w:color="auto"/>
            </w:tcBorders>
          </w:tcPr>
          <w:p w14:paraId="67CF5588" w14:textId="77777777" w:rsidR="00022316" w:rsidRPr="00022316" w:rsidRDefault="00022316" w:rsidP="007422CB">
            <w:pPr>
              <w:pStyle w:val="Compact"/>
              <w:rPr>
                <w:sz w:val="20"/>
                <w:szCs w:val="20"/>
              </w:rPr>
            </w:pPr>
            <w:r w:rsidRPr="00022316">
              <w:rPr>
                <w:sz w:val="20"/>
                <w:szCs w:val="20"/>
              </w:rPr>
              <w:t>Age</w:t>
            </w:r>
          </w:p>
        </w:tc>
        <w:tc>
          <w:tcPr>
            <w:tcW w:w="0" w:type="auto"/>
            <w:tcBorders>
              <w:top w:val="single" w:sz="4" w:space="0" w:color="auto"/>
              <w:bottom w:val="single" w:sz="4" w:space="0" w:color="auto"/>
              <w:right w:val="single" w:sz="4" w:space="0" w:color="auto"/>
            </w:tcBorders>
          </w:tcPr>
          <w:p w14:paraId="18112E28" w14:textId="77777777" w:rsidR="00022316" w:rsidRPr="00022316" w:rsidRDefault="00022316" w:rsidP="007422CB">
            <w:pPr>
              <w:pStyle w:val="Compact"/>
              <w:jc w:val="center"/>
              <w:rPr>
                <w:sz w:val="20"/>
                <w:szCs w:val="20"/>
              </w:rPr>
            </w:pPr>
            <w:r w:rsidRPr="00022316">
              <w:rPr>
                <w:sz w:val="20"/>
                <w:szCs w:val="20"/>
              </w:rPr>
              <w:t>32.0 (28.0, 36.0)</w:t>
            </w:r>
          </w:p>
        </w:tc>
      </w:tr>
      <w:tr w:rsidR="00022316" w14:paraId="6832C852" w14:textId="77777777" w:rsidTr="00022316">
        <w:tc>
          <w:tcPr>
            <w:tcW w:w="0" w:type="auto"/>
            <w:tcBorders>
              <w:top w:val="single" w:sz="4" w:space="0" w:color="auto"/>
              <w:left w:val="single" w:sz="4" w:space="0" w:color="auto"/>
            </w:tcBorders>
          </w:tcPr>
          <w:p w14:paraId="1EDC1936" w14:textId="77777777" w:rsidR="00022316" w:rsidRPr="00022316" w:rsidRDefault="00022316" w:rsidP="007422CB">
            <w:pPr>
              <w:pStyle w:val="Compact"/>
              <w:rPr>
                <w:sz w:val="20"/>
                <w:szCs w:val="20"/>
              </w:rPr>
            </w:pPr>
            <w:r w:rsidRPr="00022316">
              <w:rPr>
                <w:sz w:val="20"/>
                <w:szCs w:val="20"/>
              </w:rPr>
              <w:t>Ethnicity</w:t>
            </w:r>
          </w:p>
        </w:tc>
        <w:tc>
          <w:tcPr>
            <w:tcW w:w="0" w:type="auto"/>
            <w:tcBorders>
              <w:top w:val="single" w:sz="4" w:space="0" w:color="auto"/>
              <w:right w:val="single" w:sz="4" w:space="0" w:color="auto"/>
            </w:tcBorders>
          </w:tcPr>
          <w:p w14:paraId="7CBFE14A" w14:textId="77777777" w:rsidR="00022316" w:rsidRPr="00022316" w:rsidRDefault="00022316" w:rsidP="007422CB">
            <w:pPr>
              <w:pStyle w:val="Compact"/>
              <w:rPr>
                <w:sz w:val="20"/>
                <w:szCs w:val="20"/>
              </w:rPr>
            </w:pPr>
          </w:p>
        </w:tc>
      </w:tr>
      <w:tr w:rsidR="00022316" w14:paraId="41BE3420" w14:textId="77777777" w:rsidTr="00022316">
        <w:tc>
          <w:tcPr>
            <w:tcW w:w="0" w:type="auto"/>
            <w:tcBorders>
              <w:left w:val="single" w:sz="4" w:space="0" w:color="auto"/>
            </w:tcBorders>
          </w:tcPr>
          <w:p w14:paraId="7F3BD61D" w14:textId="69CB70F3" w:rsidR="00022316" w:rsidRPr="00022316" w:rsidRDefault="00022316" w:rsidP="007422CB">
            <w:pPr>
              <w:pStyle w:val="Compact"/>
              <w:rPr>
                <w:sz w:val="20"/>
                <w:szCs w:val="20"/>
              </w:rPr>
            </w:pPr>
            <w:r>
              <w:rPr>
                <w:sz w:val="20"/>
                <w:szCs w:val="20"/>
              </w:rPr>
              <w:t xml:space="preserve">   </w:t>
            </w:r>
            <w:r w:rsidRPr="00022316">
              <w:rPr>
                <w:sz w:val="20"/>
                <w:szCs w:val="20"/>
              </w:rPr>
              <w:t>Latina/Hispanic</w:t>
            </w:r>
          </w:p>
        </w:tc>
        <w:tc>
          <w:tcPr>
            <w:tcW w:w="0" w:type="auto"/>
            <w:tcBorders>
              <w:right w:val="single" w:sz="4" w:space="0" w:color="auto"/>
            </w:tcBorders>
          </w:tcPr>
          <w:p w14:paraId="35921F0E" w14:textId="77777777" w:rsidR="00022316" w:rsidRPr="00022316" w:rsidRDefault="00022316" w:rsidP="007422CB">
            <w:pPr>
              <w:pStyle w:val="Compact"/>
              <w:jc w:val="center"/>
              <w:rPr>
                <w:sz w:val="20"/>
                <w:szCs w:val="20"/>
              </w:rPr>
            </w:pPr>
            <w:r w:rsidRPr="00022316">
              <w:rPr>
                <w:sz w:val="20"/>
                <w:szCs w:val="20"/>
              </w:rPr>
              <w:t>638 (25%)</w:t>
            </w:r>
          </w:p>
        </w:tc>
      </w:tr>
      <w:tr w:rsidR="00022316" w14:paraId="7834EC5C" w14:textId="77777777" w:rsidTr="00022316">
        <w:tc>
          <w:tcPr>
            <w:tcW w:w="0" w:type="auto"/>
            <w:tcBorders>
              <w:left w:val="single" w:sz="4" w:space="0" w:color="auto"/>
              <w:bottom w:val="single" w:sz="4" w:space="0" w:color="auto"/>
            </w:tcBorders>
          </w:tcPr>
          <w:p w14:paraId="38E299E0" w14:textId="7C1A721D" w:rsidR="00022316" w:rsidRPr="00022316" w:rsidRDefault="00022316" w:rsidP="007422CB">
            <w:pPr>
              <w:pStyle w:val="Compact"/>
              <w:rPr>
                <w:sz w:val="20"/>
                <w:szCs w:val="20"/>
              </w:rPr>
            </w:pPr>
            <w:r>
              <w:rPr>
                <w:sz w:val="20"/>
                <w:szCs w:val="20"/>
              </w:rPr>
              <w:t xml:space="preserve">   </w:t>
            </w:r>
            <w:r w:rsidRPr="00022316">
              <w:rPr>
                <w:sz w:val="20"/>
                <w:szCs w:val="20"/>
              </w:rPr>
              <w:t>Non-Latina/Non-Hispanic</w:t>
            </w:r>
          </w:p>
        </w:tc>
        <w:tc>
          <w:tcPr>
            <w:tcW w:w="0" w:type="auto"/>
            <w:tcBorders>
              <w:bottom w:val="single" w:sz="4" w:space="0" w:color="auto"/>
              <w:right w:val="single" w:sz="4" w:space="0" w:color="auto"/>
            </w:tcBorders>
          </w:tcPr>
          <w:p w14:paraId="6835EF94" w14:textId="77777777" w:rsidR="00022316" w:rsidRPr="00022316" w:rsidRDefault="00022316" w:rsidP="007422CB">
            <w:pPr>
              <w:pStyle w:val="Compact"/>
              <w:jc w:val="center"/>
              <w:rPr>
                <w:sz w:val="20"/>
                <w:szCs w:val="20"/>
              </w:rPr>
            </w:pPr>
            <w:r w:rsidRPr="00022316">
              <w:rPr>
                <w:sz w:val="20"/>
                <w:szCs w:val="20"/>
              </w:rPr>
              <w:t>1,940 (75%)</w:t>
            </w:r>
          </w:p>
        </w:tc>
      </w:tr>
      <w:tr w:rsidR="00022316" w14:paraId="7968B88D" w14:textId="77777777" w:rsidTr="00022316">
        <w:tc>
          <w:tcPr>
            <w:tcW w:w="0" w:type="auto"/>
            <w:tcBorders>
              <w:top w:val="single" w:sz="4" w:space="0" w:color="auto"/>
              <w:left w:val="single" w:sz="4" w:space="0" w:color="auto"/>
            </w:tcBorders>
          </w:tcPr>
          <w:p w14:paraId="215C7F55" w14:textId="77777777" w:rsidR="00022316" w:rsidRPr="00022316" w:rsidRDefault="00022316" w:rsidP="007422CB">
            <w:pPr>
              <w:pStyle w:val="Compact"/>
              <w:rPr>
                <w:sz w:val="20"/>
                <w:szCs w:val="20"/>
              </w:rPr>
            </w:pPr>
            <w:r w:rsidRPr="00022316">
              <w:rPr>
                <w:sz w:val="20"/>
                <w:szCs w:val="20"/>
              </w:rPr>
              <w:t>Race</w:t>
            </w:r>
          </w:p>
        </w:tc>
        <w:tc>
          <w:tcPr>
            <w:tcW w:w="0" w:type="auto"/>
            <w:tcBorders>
              <w:top w:val="single" w:sz="4" w:space="0" w:color="auto"/>
              <w:right w:val="single" w:sz="4" w:space="0" w:color="auto"/>
            </w:tcBorders>
          </w:tcPr>
          <w:p w14:paraId="748DA7BB" w14:textId="77777777" w:rsidR="00022316" w:rsidRPr="00022316" w:rsidRDefault="00022316" w:rsidP="007422CB">
            <w:pPr>
              <w:pStyle w:val="Compact"/>
              <w:rPr>
                <w:sz w:val="20"/>
                <w:szCs w:val="20"/>
              </w:rPr>
            </w:pPr>
          </w:p>
        </w:tc>
      </w:tr>
      <w:tr w:rsidR="00022316" w14:paraId="4687C102" w14:textId="77777777" w:rsidTr="00022316">
        <w:tc>
          <w:tcPr>
            <w:tcW w:w="0" w:type="auto"/>
            <w:tcBorders>
              <w:left w:val="single" w:sz="4" w:space="0" w:color="auto"/>
            </w:tcBorders>
          </w:tcPr>
          <w:p w14:paraId="417CF0BC" w14:textId="64777959" w:rsidR="00022316" w:rsidRPr="00022316" w:rsidRDefault="00022316" w:rsidP="007422CB">
            <w:pPr>
              <w:pStyle w:val="Compact"/>
              <w:rPr>
                <w:sz w:val="20"/>
                <w:szCs w:val="20"/>
              </w:rPr>
            </w:pPr>
            <w:r>
              <w:rPr>
                <w:sz w:val="20"/>
                <w:szCs w:val="20"/>
              </w:rPr>
              <w:t xml:space="preserve">   Unknown</w:t>
            </w:r>
          </w:p>
        </w:tc>
        <w:tc>
          <w:tcPr>
            <w:tcW w:w="0" w:type="auto"/>
            <w:tcBorders>
              <w:right w:val="single" w:sz="4" w:space="0" w:color="auto"/>
            </w:tcBorders>
          </w:tcPr>
          <w:p w14:paraId="712C2B58" w14:textId="77777777" w:rsidR="00022316" w:rsidRPr="00022316" w:rsidRDefault="00022316" w:rsidP="007422CB">
            <w:pPr>
              <w:pStyle w:val="Compact"/>
              <w:jc w:val="center"/>
              <w:rPr>
                <w:sz w:val="20"/>
                <w:szCs w:val="20"/>
              </w:rPr>
            </w:pPr>
            <w:r w:rsidRPr="00022316">
              <w:rPr>
                <w:sz w:val="20"/>
                <w:szCs w:val="20"/>
              </w:rPr>
              <w:t>71 (2.8%)</w:t>
            </w:r>
          </w:p>
        </w:tc>
      </w:tr>
      <w:tr w:rsidR="00022316" w14:paraId="0F2844EC" w14:textId="77777777" w:rsidTr="00022316">
        <w:tc>
          <w:tcPr>
            <w:tcW w:w="0" w:type="auto"/>
            <w:tcBorders>
              <w:left w:val="single" w:sz="4" w:space="0" w:color="auto"/>
            </w:tcBorders>
          </w:tcPr>
          <w:p w14:paraId="6104553F" w14:textId="13FA3974" w:rsidR="00022316" w:rsidRPr="00022316" w:rsidRDefault="00022316" w:rsidP="007422CB">
            <w:pPr>
              <w:pStyle w:val="Compact"/>
              <w:rPr>
                <w:sz w:val="20"/>
                <w:szCs w:val="20"/>
              </w:rPr>
            </w:pPr>
            <w:r>
              <w:rPr>
                <w:sz w:val="20"/>
                <w:szCs w:val="20"/>
              </w:rPr>
              <w:t xml:space="preserve">   </w:t>
            </w:r>
            <w:r w:rsidRPr="00887060">
              <w:rPr>
                <w:sz w:val="20"/>
                <w:szCs w:val="20"/>
              </w:rPr>
              <w:t>American</w:t>
            </w:r>
            <w:r>
              <w:rPr>
                <w:sz w:val="20"/>
                <w:szCs w:val="20"/>
              </w:rPr>
              <w:t xml:space="preserve"> </w:t>
            </w:r>
            <w:r w:rsidRPr="00887060">
              <w:rPr>
                <w:sz w:val="20"/>
                <w:szCs w:val="20"/>
              </w:rPr>
              <w:t>Indian</w:t>
            </w:r>
            <w:r>
              <w:rPr>
                <w:sz w:val="20"/>
                <w:szCs w:val="20"/>
              </w:rPr>
              <w:t xml:space="preserve"> or A</w:t>
            </w:r>
            <w:r w:rsidRPr="00887060">
              <w:rPr>
                <w:sz w:val="20"/>
                <w:szCs w:val="20"/>
              </w:rPr>
              <w:t>laska</w:t>
            </w:r>
            <w:r>
              <w:rPr>
                <w:sz w:val="20"/>
                <w:szCs w:val="20"/>
              </w:rPr>
              <w:t xml:space="preserve"> </w:t>
            </w:r>
            <w:r w:rsidRPr="00887060">
              <w:rPr>
                <w:sz w:val="20"/>
                <w:szCs w:val="20"/>
              </w:rPr>
              <w:t>Native</w:t>
            </w:r>
          </w:p>
        </w:tc>
        <w:tc>
          <w:tcPr>
            <w:tcW w:w="0" w:type="auto"/>
            <w:tcBorders>
              <w:right w:val="single" w:sz="4" w:space="0" w:color="auto"/>
            </w:tcBorders>
          </w:tcPr>
          <w:p w14:paraId="7E4744D3" w14:textId="77777777" w:rsidR="00022316" w:rsidRPr="00022316" w:rsidRDefault="00022316" w:rsidP="007422CB">
            <w:pPr>
              <w:pStyle w:val="Compact"/>
              <w:jc w:val="center"/>
              <w:rPr>
                <w:sz w:val="20"/>
                <w:szCs w:val="20"/>
              </w:rPr>
            </w:pPr>
            <w:r w:rsidRPr="00022316">
              <w:rPr>
                <w:sz w:val="20"/>
                <w:szCs w:val="20"/>
              </w:rPr>
              <w:t>11 (0.4%)</w:t>
            </w:r>
          </w:p>
        </w:tc>
      </w:tr>
      <w:tr w:rsidR="00022316" w14:paraId="3A07160E" w14:textId="77777777" w:rsidTr="00022316">
        <w:tc>
          <w:tcPr>
            <w:tcW w:w="0" w:type="auto"/>
            <w:tcBorders>
              <w:left w:val="single" w:sz="4" w:space="0" w:color="auto"/>
            </w:tcBorders>
          </w:tcPr>
          <w:p w14:paraId="16E8C55D" w14:textId="0987E272" w:rsidR="00022316" w:rsidRPr="00022316" w:rsidRDefault="00022316" w:rsidP="007422CB">
            <w:pPr>
              <w:pStyle w:val="Compact"/>
              <w:rPr>
                <w:sz w:val="20"/>
                <w:szCs w:val="20"/>
              </w:rPr>
            </w:pPr>
            <w:r>
              <w:rPr>
                <w:sz w:val="20"/>
                <w:szCs w:val="20"/>
              </w:rPr>
              <w:t xml:space="preserve">   </w:t>
            </w:r>
            <w:r w:rsidRPr="00022316">
              <w:rPr>
                <w:sz w:val="20"/>
                <w:szCs w:val="20"/>
              </w:rPr>
              <w:t>Asian</w:t>
            </w:r>
          </w:p>
        </w:tc>
        <w:tc>
          <w:tcPr>
            <w:tcW w:w="0" w:type="auto"/>
            <w:tcBorders>
              <w:right w:val="single" w:sz="4" w:space="0" w:color="auto"/>
            </w:tcBorders>
          </w:tcPr>
          <w:p w14:paraId="7AE83A07" w14:textId="77777777" w:rsidR="00022316" w:rsidRPr="00022316" w:rsidRDefault="00022316" w:rsidP="007422CB">
            <w:pPr>
              <w:pStyle w:val="Compact"/>
              <w:jc w:val="center"/>
              <w:rPr>
                <w:sz w:val="20"/>
                <w:szCs w:val="20"/>
              </w:rPr>
            </w:pPr>
            <w:r w:rsidRPr="00022316">
              <w:rPr>
                <w:sz w:val="20"/>
                <w:szCs w:val="20"/>
              </w:rPr>
              <w:t>283 (11%)</w:t>
            </w:r>
          </w:p>
        </w:tc>
      </w:tr>
      <w:tr w:rsidR="00022316" w14:paraId="43751FB3" w14:textId="77777777" w:rsidTr="00022316">
        <w:tc>
          <w:tcPr>
            <w:tcW w:w="0" w:type="auto"/>
            <w:tcBorders>
              <w:left w:val="single" w:sz="4" w:space="0" w:color="auto"/>
            </w:tcBorders>
          </w:tcPr>
          <w:p w14:paraId="3CE5E623" w14:textId="32EAD99E" w:rsidR="00022316" w:rsidRPr="00022316" w:rsidRDefault="00022316" w:rsidP="007422CB">
            <w:pPr>
              <w:pStyle w:val="Compact"/>
              <w:rPr>
                <w:sz w:val="20"/>
                <w:szCs w:val="20"/>
              </w:rPr>
            </w:pPr>
            <w:r>
              <w:rPr>
                <w:sz w:val="20"/>
                <w:szCs w:val="20"/>
              </w:rPr>
              <w:t xml:space="preserve">   </w:t>
            </w:r>
            <w:r w:rsidRPr="00022316">
              <w:rPr>
                <w:sz w:val="20"/>
                <w:szCs w:val="20"/>
              </w:rPr>
              <w:t>Black</w:t>
            </w:r>
          </w:p>
        </w:tc>
        <w:tc>
          <w:tcPr>
            <w:tcW w:w="0" w:type="auto"/>
            <w:tcBorders>
              <w:right w:val="single" w:sz="4" w:space="0" w:color="auto"/>
            </w:tcBorders>
          </w:tcPr>
          <w:p w14:paraId="5ABA9864" w14:textId="77777777" w:rsidR="00022316" w:rsidRPr="00022316" w:rsidRDefault="00022316" w:rsidP="007422CB">
            <w:pPr>
              <w:pStyle w:val="Compact"/>
              <w:jc w:val="center"/>
              <w:rPr>
                <w:sz w:val="20"/>
                <w:szCs w:val="20"/>
              </w:rPr>
            </w:pPr>
            <w:r w:rsidRPr="00022316">
              <w:rPr>
                <w:sz w:val="20"/>
                <w:szCs w:val="20"/>
              </w:rPr>
              <w:t>282 (11%)</w:t>
            </w:r>
          </w:p>
        </w:tc>
      </w:tr>
      <w:tr w:rsidR="00022316" w14:paraId="4FBA69F6" w14:textId="77777777" w:rsidTr="00022316">
        <w:tc>
          <w:tcPr>
            <w:tcW w:w="0" w:type="auto"/>
            <w:tcBorders>
              <w:left w:val="single" w:sz="4" w:space="0" w:color="auto"/>
            </w:tcBorders>
          </w:tcPr>
          <w:p w14:paraId="7F4DFB07" w14:textId="4F017763" w:rsidR="00022316" w:rsidRPr="00022316" w:rsidRDefault="00022316" w:rsidP="007422CB">
            <w:pPr>
              <w:pStyle w:val="Compact"/>
              <w:rPr>
                <w:sz w:val="20"/>
                <w:szCs w:val="20"/>
              </w:rPr>
            </w:pPr>
            <w:r>
              <w:rPr>
                <w:sz w:val="20"/>
                <w:szCs w:val="20"/>
              </w:rPr>
              <w:t xml:space="preserve">   </w:t>
            </w:r>
            <w:r w:rsidRPr="00022316">
              <w:rPr>
                <w:sz w:val="20"/>
                <w:szCs w:val="20"/>
              </w:rPr>
              <w:t>Declined</w:t>
            </w:r>
          </w:p>
        </w:tc>
        <w:tc>
          <w:tcPr>
            <w:tcW w:w="0" w:type="auto"/>
            <w:tcBorders>
              <w:right w:val="single" w:sz="4" w:space="0" w:color="auto"/>
            </w:tcBorders>
          </w:tcPr>
          <w:p w14:paraId="6DA4360C" w14:textId="77777777" w:rsidR="00022316" w:rsidRPr="00022316" w:rsidRDefault="00022316" w:rsidP="007422CB">
            <w:pPr>
              <w:pStyle w:val="Compact"/>
              <w:jc w:val="center"/>
              <w:rPr>
                <w:sz w:val="20"/>
                <w:szCs w:val="20"/>
              </w:rPr>
            </w:pPr>
            <w:r w:rsidRPr="00022316">
              <w:rPr>
                <w:sz w:val="20"/>
                <w:szCs w:val="20"/>
              </w:rPr>
              <w:t>100 (3.9%)</w:t>
            </w:r>
          </w:p>
        </w:tc>
      </w:tr>
      <w:tr w:rsidR="00022316" w14:paraId="70A5B8AE" w14:textId="77777777" w:rsidTr="00022316">
        <w:tc>
          <w:tcPr>
            <w:tcW w:w="0" w:type="auto"/>
            <w:tcBorders>
              <w:left w:val="single" w:sz="4" w:space="0" w:color="auto"/>
            </w:tcBorders>
          </w:tcPr>
          <w:p w14:paraId="3D7FE918" w14:textId="5F3AA710" w:rsidR="00022316" w:rsidRPr="00022316" w:rsidRDefault="00022316" w:rsidP="007422CB">
            <w:pPr>
              <w:pStyle w:val="Compact"/>
              <w:rPr>
                <w:sz w:val="20"/>
                <w:szCs w:val="20"/>
              </w:rPr>
            </w:pPr>
            <w:r>
              <w:rPr>
                <w:sz w:val="20"/>
                <w:szCs w:val="20"/>
              </w:rPr>
              <w:t xml:space="preserve">   </w:t>
            </w:r>
            <w:r w:rsidRPr="00022316">
              <w:rPr>
                <w:sz w:val="20"/>
                <w:szCs w:val="20"/>
              </w:rPr>
              <w:t>Multiple</w:t>
            </w:r>
            <w:r>
              <w:rPr>
                <w:sz w:val="20"/>
                <w:szCs w:val="20"/>
              </w:rPr>
              <w:t xml:space="preserve"> </w:t>
            </w:r>
            <w:r w:rsidRPr="00022316">
              <w:rPr>
                <w:sz w:val="20"/>
                <w:szCs w:val="20"/>
              </w:rPr>
              <w:t>Race</w:t>
            </w:r>
          </w:p>
        </w:tc>
        <w:tc>
          <w:tcPr>
            <w:tcW w:w="0" w:type="auto"/>
            <w:tcBorders>
              <w:right w:val="single" w:sz="4" w:space="0" w:color="auto"/>
            </w:tcBorders>
          </w:tcPr>
          <w:p w14:paraId="6F1E18AE" w14:textId="77777777" w:rsidR="00022316" w:rsidRPr="00022316" w:rsidRDefault="00022316" w:rsidP="007422CB">
            <w:pPr>
              <w:pStyle w:val="Compact"/>
              <w:jc w:val="center"/>
              <w:rPr>
                <w:sz w:val="20"/>
                <w:szCs w:val="20"/>
              </w:rPr>
            </w:pPr>
            <w:r w:rsidRPr="00022316">
              <w:rPr>
                <w:sz w:val="20"/>
                <w:szCs w:val="20"/>
              </w:rPr>
              <w:t>118 (4.6%)</w:t>
            </w:r>
          </w:p>
        </w:tc>
      </w:tr>
      <w:tr w:rsidR="00022316" w14:paraId="6675FBBD" w14:textId="77777777" w:rsidTr="00022316">
        <w:tc>
          <w:tcPr>
            <w:tcW w:w="0" w:type="auto"/>
            <w:tcBorders>
              <w:left w:val="single" w:sz="4" w:space="0" w:color="auto"/>
            </w:tcBorders>
          </w:tcPr>
          <w:p w14:paraId="20AAD397" w14:textId="0BDC0724" w:rsidR="00022316" w:rsidRPr="00022316" w:rsidRDefault="00022316" w:rsidP="007422CB">
            <w:pPr>
              <w:pStyle w:val="Compact"/>
              <w:rPr>
                <w:sz w:val="20"/>
                <w:szCs w:val="20"/>
              </w:rPr>
            </w:pPr>
            <w:r>
              <w:rPr>
                <w:sz w:val="20"/>
                <w:szCs w:val="20"/>
              </w:rPr>
              <w:t xml:space="preserve">   </w:t>
            </w:r>
            <w:r w:rsidRPr="00022316">
              <w:rPr>
                <w:sz w:val="20"/>
                <w:szCs w:val="20"/>
              </w:rPr>
              <w:t>Native</w:t>
            </w:r>
            <w:r>
              <w:rPr>
                <w:sz w:val="20"/>
                <w:szCs w:val="20"/>
              </w:rPr>
              <w:t xml:space="preserve"> </w:t>
            </w:r>
            <w:r w:rsidRPr="00022316">
              <w:rPr>
                <w:sz w:val="20"/>
                <w:szCs w:val="20"/>
              </w:rPr>
              <w:t>Hawaiian</w:t>
            </w:r>
            <w:r>
              <w:rPr>
                <w:sz w:val="20"/>
                <w:szCs w:val="20"/>
              </w:rPr>
              <w:t xml:space="preserve"> or Other </w:t>
            </w:r>
            <w:r w:rsidRPr="00022316">
              <w:rPr>
                <w:sz w:val="20"/>
                <w:szCs w:val="20"/>
              </w:rPr>
              <w:t>P</w:t>
            </w:r>
            <w:r>
              <w:rPr>
                <w:sz w:val="20"/>
                <w:szCs w:val="20"/>
              </w:rPr>
              <w:t xml:space="preserve">acific </w:t>
            </w:r>
            <w:r w:rsidRPr="00022316">
              <w:rPr>
                <w:sz w:val="20"/>
                <w:szCs w:val="20"/>
              </w:rPr>
              <w:t>I</w:t>
            </w:r>
            <w:r>
              <w:rPr>
                <w:sz w:val="20"/>
                <w:szCs w:val="20"/>
              </w:rPr>
              <w:t>slander</w:t>
            </w:r>
          </w:p>
        </w:tc>
        <w:tc>
          <w:tcPr>
            <w:tcW w:w="0" w:type="auto"/>
            <w:tcBorders>
              <w:right w:val="single" w:sz="4" w:space="0" w:color="auto"/>
            </w:tcBorders>
          </w:tcPr>
          <w:p w14:paraId="5483FC61" w14:textId="77777777" w:rsidR="00022316" w:rsidRPr="00022316" w:rsidRDefault="00022316" w:rsidP="007422CB">
            <w:pPr>
              <w:pStyle w:val="Compact"/>
              <w:jc w:val="center"/>
              <w:rPr>
                <w:sz w:val="20"/>
                <w:szCs w:val="20"/>
              </w:rPr>
            </w:pPr>
            <w:r w:rsidRPr="00022316">
              <w:rPr>
                <w:sz w:val="20"/>
                <w:szCs w:val="20"/>
              </w:rPr>
              <w:t>28 (1.1%)</w:t>
            </w:r>
          </w:p>
        </w:tc>
      </w:tr>
      <w:tr w:rsidR="00022316" w14:paraId="241F7943" w14:textId="77777777" w:rsidTr="00022316">
        <w:tc>
          <w:tcPr>
            <w:tcW w:w="0" w:type="auto"/>
            <w:tcBorders>
              <w:left w:val="single" w:sz="4" w:space="0" w:color="auto"/>
            </w:tcBorders>
          </w:tcPr>
          <w:p w14:paraId="57476E15" w14:textId="3BF24541" w:rsidR="00022316" w:rsidRPr="00022316" w:rsidRDefault="00022316" w:rsidP="007422CB">
            <w:pPr>
              <w:pStyle w:val="Compact"/>
              <w:rPr>
                <w:sz w:val="20"/>
                <w:szCs w:val="20"/>
              </w:rPr>
            </w:pPr>
            <w:r>
              <w:rPr>
                <w:sz w:val="20"/>
                <w:szCs w:val="20"/>
              </w:rPr>
              <w:t xml:space="preserve">   </w:t>
            </w:r>
            <w:r w:rsidRPr="00022316">
              <w:rPr>
                <w:sz w:val="20"/>
                <w:szCs w:val="20"/>
              </w:rPr>
              <w:t>Other</w:t>
            </w:r>
          </w:p>
        </w:tc>
        <w:tc>
          <w:tcPr>
            <w:tcW w:w="0" w:type="auto"/>
            <w:tcBorders>
              <w:right w:val="single" w:sz="4" w:space="0" w:color="auto"/>
            </w:tcBorders>
          </w:tcPr>
          <w:p w14:paraId="6A56EF19" w14:textId="77777777" w:rsidR="00022316" w:rsidRPr="00022316" w:rsidRDefault="00022316" w:rsidP="007422CB">
            <w:pPr>
              <w:pStyle w:val="Compact"/>
              <w:jc w:val="center"/>
              <w:rPr>
                <w:sz w:val="20"/>
                <w:szCs w:val="20"/>
              </w:rPr>
            </w:pPr>
            <w:r w:rsidRPr="00022316">
              <w:rPr>
                <w:sz w:val="20"/>
                <w:szCs w:val="20"/>
              </w:rPr>
              <w:t>457 (18%)</w:t>
            </w:r>
          </w:p>
        </w:tc>
      </w:tr>
      <w:tr w:rsidR="00022316" w14:paraId="65AE7B4D" w14:textId="77777777" w:rsidTr="00022316">
        <w:tc>
          <w:tcPr>
            <w:tcW w:w="0" w:type="auto"/>
            <w:tcBorders>
              <w:left w:val="single" w:sz="4" w:space="0" w:color="auto"/>
              <w:bottom w:val="single" w:sz="4" w:space="0" w:color="auto"/>
            </w:tcBorders>
          </w:tcPr>
          <w:p w14:paraId="667BB762" w14:textId="1C1A765A" w:rsidR="00022316" w:rsidRPr="00022316" w:rsidRDefault="00022316" w:rsidP="007422CB">
            <w:pPr>
              <w:pStyle w:val="Compact"/>
              <w:rPr>
                <w:sz w:val="20"/>
                <w:szCs w:val="20"/>
              </w:rPr>
            </w:pPr>
            <w:r>
              <w:rPr>
                <w:sz w:val="20"/>
                <w:szCs w:val="20"/>
              </w:rPr>
              <w:t xml:space="preserve">   </w:t>
            </w:r>
            <w:r w:rsidRPr="00022316">
              <w:rPr>
                <w:sz w:val="20"/>
                <w:szCs w:val="20"/>
              </w:rPr>
              <w:t>White</w:t>
            </w:r>
          </w:p>
        </w:tc>
        <w:tc>
          <w:tcPr>
            <w:tcW w:w="0" w:type="auto"/>
            <w:tcBorders>
              <w:bottom w:val="single" w:sz="4" w:space="0" w:color="auto"/>
              <w:right w:val="single" w:sz="4" w:space="0" w:color="auto"/>
            </w:tcBorders>
          </w:tcPr>
          <w:p w14:paraId="333725B6" w14:textId="77777777" w:rsidR="00022316" w:rsidRPr="00022316" w:rsidRDefault="00022316" w:rsidP="007422CB">
            <w:pPr>
              <w:pStyle w:val="Compact"/>
              <w:jc w:val="center"/>
              <w:rPr>
                <w:sz w:val="20"/>
                <w:szCs w:val="20"/>
              </w:rPr>
            </w:pPr>
            <w:r w:rsidRPr="00022316">
              <w:rPr>
                <w:sz w:val="20"/>
                <w:szCs w:val="20"/>
              </w:rPr>
              <w:t>1,228 (48%)</w:t>
            </w:r>
          </w:p>
        </w:tc>
      </w:tr>
      <w:tr w:rsidR="00022316" w14:paraId="709DEDC8" w14:textId="77777777" w:rsidTr="00022316">
        <w:tc>
          <w:tcPr>
            <w:tcW w:w="0" w:type="auto"/>
            <w:tcBorders>
              <w:top w:val="single" w:sz="4" w:space="0" w:color="auto"/>
              <w:left w:val="single" w:sz="4" w:space="0" w:color="auto"/>
            </w:tcBorders>
          </w:tcPr>
          <w:p w14:paraId="71BD1E0C" w14:textId="095CFB96" w:rsidR="00022316" w:rsidRPr="00022316" w:rsidRDefault="00022316" w:rsidP="007422CB">
            <w:pPr>
              <w:pStyle w:val="Compact"/>
              <w:rPr>
                <w:sz w:val="20"/>
                <w:szCs w:val="20"/>
              </w:rPr>
            </w:pPr>
            <w:r w:rsidRPr="00022316">
              <w:rPr>
                <w:sz w:val="20"/>
                <w:szCs w:val="20"/>
              </w:rPr>
              <w:t>COVID-19</w:t>
            </w:r>
            <w:r>
              <w:rPr>
                <w:sz w:val="20"/>
                <w:szCs w:val="20"/>
              </w:rPr>
              <w:t xml:space="preserve"> Status at Delivery</w:t>
            </w:r>
          </w:p>
        </w:tc>
        <w:tc>
          <w:tcPr>
            <w:tcW w:w="0" w:type="auto"/>
            <w:tcBorders>
              <w:top w:val="single" w:sz="4" w:space="0" w:color="auto"/>
              <w:right w:val="single" w:sz="4" w:space="0" w:color="auto"/>
            </w:tcBorders>
          </w:tcPr>
          <w:p w14:paraId="7F36B3D5" w14:textId="77777777" w:rsidR="00022316" w:rsidRPr="00022316" w:rsidRDefault="00022316" w:rsidP="007422CB">
            <w:pPr>
              <w:pStyle w:val="Compact"/>
              <w:rPr>
                <w:sz w:val="20"/>
                <w:szCs w:val="20"/>
              </w:rPr>
            </w:pPr>
          </w:p>
        </w:tc>
      </w:tr>
      <w:tr w:rsidR="00022316" w14:paraId="76CB9D5E" w14:textId="77777777" w:rsidTr="00022316">
        <w:tc>
          <w:tcPr>
            <w:tcW w:w="0" w:type="auto"/>
            <w:tcBorders>
              <w:left w:val="single" w:sz="4" w:space="0" w:color="auto"/>
            </w:tcBorders>
          </w:tcPr>
          <w:p w14:paraId="75B81826" w14:textId="5FCD455B" w:rsidR="00022316" w:rsidRPr="00022316" w:rsidRDefault="00022316" w:rsidP="007422CB">
            <w:pPr>
              <w:pStyle w:val="Compact"/>
              <w:rPr>
                <w:sz w:val="20"/>
                <w:szCs w:val="20"/>
              </w:rPr>
            </w:pPr>
            <w:r>
              <w:rPr>
                <w:sz w:val="20"/>
                <w:szCs w:val="20"/>
              </w:rPr>
              <w:t xml:space="preserve">   </w:t>
            </w:r>
            <w:r w:rsidRPr="00022316">
              <w:rPr>
                <w:sz w:val="20"/>
                <w:szCs w:val="20"/>
              </w:rPr>
              <w:t>COVID-19 Infection</w:t>
            </w:r>
          </w:p>
        </w:tc>
        <w:tc>
          <w:tcPr>
            <w:tcW w:w="0" w:type="auto"/>
            <w:tcBorders>
              <w:right w:val="single" w:sz="4" w:space="0" w:color="auto"/>
            </w:tcBorders>
          </w:tcPr>
          <w:p w14:paraId="32836BCE" w14:textId="77777777" w:rsidR="00022316" w:rsidRPr="00022316" w:rsidRDefault="00022316" w:rsidP="007422CB">
            <w:pPr>
              <w:pStyle w:val="Compact"/>
              <w:jc w:val="center"/>
              <w:rPr>
                <w:sz w:val="20"/>
                <w:szCs w:val="20"/>
              </w:rPr>
            </w:pPr>
            <w:r w:rsidRPr="00022316">
              <w:rPr>
                <w:sz w:val="20"/>
                <w:szCs w:val="20"/>
              </w:rPr>
              <w:t>296 (11%)</w:t>
            </w:r>
          </w:p>
        </w:tc>
      </w:tr>
      <w:tr w:rsidR="00022316" w14:paraId="50EAE934" w14:textId="77777777" w:rsidTr="00022316">
        <w:tc>
          <w:tcPr>
            <w:tcW w:w="0" w:type="auto"/>
            <w:tcBorders>
              <w:left w:val="single" w:sz="4" w:space="0" w:color="auto"/>
              <w:bottom w:val="single" w:sz="4" w:space="0" w:color="auto"/>
            </w:tcBorders>
          </w:tcPr>
          <w:p w14:paraId="7C610FB0" w14:textId="2E746C06" w:rsidR="00022316" w:rsidRPr="00022316" w:rsidRDefault="00022316" w:rsidP="007422CB">
            <w:pPr>
              <w:pStyle w:val="Compact"/>
              <w:rPr>
                <w:sz w:val="20"/>
                <w:szCs w:val="20"/>
              </w:rPr>
            </w:pPr>
            <w:r>
              <w:rPr>
                <w:sz w:val="20"/>
                <w:szCs w:val="20"/>
              </w:rPr>
              <w:t xml:space="preserve">   </w:t>
            </w:r>
            <w:r w:rsidRPr="00022316">
              <w:rPr>
                <w:sz w:val="20"/>
                <w:szCs w:val="20"/>
              </w:rPr>
              <w:t>No COVID-19 Infection</w:t>
            </w:r>
          </w:p>
        </w:tc>
        <w:tc>
          <w:tcPr>
            <w:tcW w:w="0" w:type="auto"/>
            <w:tcBorders>
              <w:bottom w:val="single" w:sz="4" w:space="0" w:color="auto"/>
              <w:right w:val="single" w:sz="4" w:space="0" w:color="auto"/>
            </w:tcBorders>
          </w:tcPr>
          <w:p w14:paraId="32A3CC8C" w14:textId="77777777" w:rsidR="00022316" w:rsidRPr="00022316" w:rsidRDefault="00022316" w:rsidP="007422CB">
            <w:pPr>
              <w:pStyle w:val="Compact"/>
              <w:jc w:val="center"/>
              <w:rPr>
                <w:sz w:val="20"/>
                <w:szCs w:val="20"/>
              </w:rPr>
            </w:pPr>
            <w:r w:rsidRPr="00022316">
              <w:rPr>
                <w:sz w:val="20"/>
                <w:szCs w:val="20"/>
              </w:rPr>
              <w:t>2,282 (89%)</w:t>
            </w:r>
          </w:p>
        </w:tc>
      </w:tr>
      <w:tr w:rsidR="00022316" w14:paraId="748972D1" w14:textId="77777777" w:rsidTr="00022316">
        <w:tc>
          <w:tcPr>
            <w:tcW w:w="0" w:type="auto"/>
            <w:tcBorders>
              <w:top w:val="single" w:sz="4" w:space="0" w:color="auto"/>
              <w:left w:val="single" w:sz="4" w:space="0" w:color="auto"/>
            </w:tcBorders>
          </w:tcPr>
          <w:p w14:paraId="5F0161A1" w14:textId="442F6440" w:rsidR="00022316" w:rsidRPr="00022316" w:rsidRDefault="00022316" w:rsidP="007422CB">
            <w:pPr>
              <w:pStyle w:val="Compact"/>
              <w:rPr>
                <w:sz w:val="20"/>
                <w:szCs w:val="20"/>
              </w:rPr>
            </w:pPr>
            <w:r>
              <w:rPr>
                <w:sz w:val="20"/>
                <w:szCs w:val="20"/>
              </w:rPr>
              <w:t>Delivery Type</w:t>
            </w:r>
          </w:p>
        </w:tc>
        <w:tc>
          <w:tcPr>
            <w:tcW w:w="0" w:type="auto"/>
            <w:tcBorders>
              <w:top w:val="single" w:sz="4" w:space="0" w:color="auto"/>
              <w:right w:val="single" w:sz="4" w:space="0" w:color="auto"/>
            </w:tcBorders>
          </w:tcPr>
          <w:p w14:paraId="530B535A" w14:textId="77777777" w:rsidR="00022316" w:rsidRPr="00022316" w:rsidRDefault="00022316" w:rsidP="007422CB">
            <w:pPr>
              <w:pStyle w:val="Compact"/>
              <w:rPr>
                <w:sz w:val="20"/>
                <w:szCs w:val="20"/>
              </w:rPr>
            </w:pPr>
          </w:p>
        </w:tc>
      </w:tr>
      <w:tr w:rsidR="00022316" w14:paraId="133CCA27" w14:textId="77777777" w:rsidTr="00022316">
        <w:tc>
          <w:tcPr>
            <w:tcW w:w="0" w:type="auto"/>
            <w:tcBorders>
              <w:left w:val="single" w:sz="4" w:space="0" w:color="auto"/>
            </w:tcBorders>
          </w:tcPr>
          <w:p w14:paraId="5806B4EF" w14:textId="31ED42B7" w:rsidR="00022316" w:rsidRPr="00022316" w:rsidRDefault="00022316" w:rsidP="007422CB">
            <w:pPr>
              <w:pStyle w:val="Compact"/>
              <w:rPr>
                <w:sz w:val="20"/>
                <w:szCs w:val="20"/>
              </w:rPr>
            </w:pPr>
            <w:r>
              <w:rPr>
                <w:sz w:val="20"/>
                <w:szCs w:val="20"/>
              </w:rPr>
              <w:t xml:space="preserve">   </w:t>
            </w:r>
            <w:r w:rsidRPr="00022316">
              <w:rPr>
                <w:sz w:val="20"/>
                <w:szCs w:val="20"/>
              </w:rPr>
              <w:t>C-Section</w:t>
            </w:r>
          </w:p>
        </w:tc>
        <w:tc>
          <w:tcPr>
            <w:tcW w:w="0" w:type="auto"/>
            <w:tcBorders>
              <w:right w:val="single" w:sz="4" w:space="0" w:color="auto"/>
            </w:tcBorders>
          </w:tcPr>
          <w:p w14:paraId="14581C27" w14:textId="77777777" w:rsidR="00022316" w:rsidRPr="00022316" w:rsidRDefault="00022316" w:rsidP="007422CB">
            <w:pPr>
              <w:pStyle w:val="Compact"/>
              <w:jc w:val="center"/>
              <w:rPr>
                <w:sz w:val="20"/>
                <w:szCs w:val="20"/>
              </w:rPr>
            </w:pPr>
            <w:r w:rsidRPr="00022316">
              <w:rPr>
                <w:sz w:val="20"/>
                <w:szCs w:val="20"/>
              </w:rPr>
              <w:t>428 (17%)</w:t>
            </w:r>
          </w:p>
        </w:tc>
      </w:tr>
      <w:tr w:rsidR="00022316" w14:paraId="6D761BE7" w14:textId="77777777" w:rsidTr="00022316">
        <w:tc>
          <w:tcPr>
            <w:tcW w:w="0" w:type="auto"/>
            <w:tcBorders>
              <w:left w:val="single" w:sz="4" w:space="0" w:color="auto"/>
              <w:bottom w:val="single" w:sz="4" w:space="0" w:color="auto"/>
            </w:tcBorders>
          </w:tcPr>
          <w:p w14:paraId="1E2406AC" w14:textId="32C49881" w:rsidR="00022316" w:rsidRPr="00022316" w:rsidRDefault="00022316" w:rsidP="007422CB">
            <w:pPr>
              <w:pStyle w:val="Compact"/>
              <w:rPr>
                <w:sz w:val="20"/>
                <w:szCs w:val="20"/>
              </w:rPr>
            </w:pPr>
            <w:r>
              <w:rPr>
                <w:sz w:val="20"/>
                <w:szCs w:val="20"/>
              </w:rPr>
              <w:t xml:space="preserve">   </w:t>
            </w:r>
            <w:r w:rsidRPr="00022316">
              <w:rPr>
                <w:sz w:val="20"/>
                <w:szCs w:val="20"/>
              </w:rPr>
              <w:t>Vaginal Delivery</w:t>
            </w:r>
          </w:p>
        </w:tc>
        <w:tc>
          <w:tcPr>
            <w:tcW w:w="0" w:type="auto"/>
            <w:tcBorders>
              <w:bottom w:val="single" w:sz="4" w:space="0" w:color="auto"/>
              <w:right w:val="single" w:sz="4" w:space="0" w:color="auto"/>
            </w:tcBorders>
          </w:tcPr>
          <w:p w14:paraId="6720B96B" w14:textId="77777777" w:rsidR="00022316" w:rsidRPr="00022316" w:rsidRDefault="00022316" w:rsidP="007422CB">
            <w:pPr>
              <w:pStyle w:val="Compact"/>
              <w:jc w:val="center"/>
              <w:rPr>
                <w:sz w:val="20"/>
                <w:szCs w:val="20"/>
              </w:rPr>
            </w:pPr>
            <w:r w:rsidRPr="00022316">
              <w:rPr>
                <w:sz w:val="20"/>
                <w:szCs w:val="20"/>
              </w:rPr>
              <w:t>2,150 (83%)</w:t>
            </w:r>
          </w:p>
        </w:tc>
      </w:tr>
      <w:tr w:rsidR="00022316" w14:paraId="1C36CA92" w14:textId="77777777" w:rsidTr="00022316">
        <w:tc>
          <w:tcPr>
            <w:tcW w:w="0" w:type="auto"/>
            <w:tcBorders>
              <w:left w:val="single" w:sz="4" w:space="0" w:color="auto"/>
            </w:tcBorders>
          </w:tcPr>
          <w:p w14:paraId="4C9A0A6D" w14:textId="77777777" w:rsidR="00022316" w:rsidRPr="00022316" w:rsidRDefault="00022316" w:rsidP="007422CB">
            <w:pPr>
              <w:pStyle w:val="Compact"/>
              <w:rPr>
                <w:sz w:val="20"/>
                <w:szCs w:val="20"/>
              </w:rPr>
            </w:pPr>
            <w:r w:rsidRPr="00022316">
              <w:rPr>
                <w:sz w:val="20"/>
                <w:szCs w:val="20"/>
              </w:rPr>
              <w:t>Pre-eclampsia Status</w:t>
            </w:r>
          </w:p>
        </w:tc>
        <w:tc>
          <w:tcPr>
            <w:tcW w:w="0" w:type="auto"/>
            <w:tcBorders>
              <w:right w:val="single" w:sz="4" w:space="0" w:color="auto"/>
            </w:tcBorders>
          </w:tcPr>
          <w:p w14:paraId="4C8EC560" w14:textId="77777777" w:rsidR="00022316" w:rsidRPr="00022316" w:rsidRDefault="00022316" w:rsidP="007422CB">
            <w:pPr>
              <w:pStyle w:val="Compact"/>
              <w:rPr>
                <w:sz w:val="20"/>
                <w:szCs w:val="20"/>
              </w:rPr>
            </w:pPr>
          </w:p>
        </w:tc>
      </w:tr>
      <w:tr w:rsidR="00022316" w14:paraId="4B460FBC" w14:textId="77777777" w:rsidTr="00022316">
        <w:tc>
          <w:tcPr>
            <w:tcW w:w="0" w:type="auto"/>
            <w:tcBorders>
              <w:left w:val="single" w:sz="4" w:space="0" w:color="auto"/>
            </w:tcBorders>
          </w:tcPr>
          <w:p w14:paraId="7D05FC95" w14:textId="68F559BD" w:rsidR="00022316" w:rsidRPr="00022316" w:rsidRDefault="00022316" w:rsidP="007422CB">
            <w:pPr>
              <w:pStyle w:val="Compact"/>
              <w:rPr>
                <w:sz w:val="20"/>
                <w:szCs w:val="20"/>
              </w:rPr>
            </w:pPr>
            <w:r>
              <w:rPr>
                <w:sz w:val="20"/>
                <w:szCs w:val="20"/>
              </w:rPr>
              <w:t xml:space="preserve">   </w:t>
            </w:r>
            <w:r w:rsidRPr="00022316">
              <w:rPr>
                <w:sz w:val="20"/>
                <w:szCs w:val="20"/>
              </w:rPr>
              <w:t>No Pre-eclampsia</w:t>
            </w:r>
          </w:p>
        </w:tc>
        <w:tc>
          <w:tcPr>
            <w:tcW w:w="0" w:type="auto"/>
            <w:tcBorders>
              <w:right w:val="single" w:sz="4" w:space="0" w:color="auto"/>
            </w:tcBorders>
          </w:tcPr>
          <w:p w14:paraId="69B7CD26" w14:textId="77777777" w:rsidR="00022316" w:rsidRPr="00022316" w:rsidRDefault="00022316" w:rsidP="007422CB">
            <w:pPr>
              <w:pStyle w:val="Compact"/>
              <w:jc w:val="center"/>
              <w:rPr>
                <w:sz w:val="20"/>
                <w:szCs w:val="20"/>
              </w:rPr>
            </w:pPr>
            <w:r w:rsidRPr="00022316">
              <w:rPr>
                <w:sz w:val="20"/>
                <w:szCs w:val="20"/>
              </w:rPr>
              <w:t>2,340 (91%)</w:t>
            </w:r>
          </w:p>
        </w:tc>
      </w:tr>
      <w:tr w:rsidR="00022316" w14:paraId="7A4998D4" w14:textId="77777777" w:rsidTr="00022316">
        <w:tc>
          <w:tcPr>
            <w:tcW w:w="0" w:type="auto"/>
            <w:tcBorders>
              <w:left w:val="single" w:sz="4" w:space="0" w:color="auto"/>
              <w:bottom w:val="single" w:sz="4" w:space="0" w:color="auto"/>
            </w:tcBorders>
          </w:tcPr>
          <w:p w14:paraId="59D66C79" w14:textId="1DE24711" w:rsidR="00022316" w:rsidRPr="00022316" w:rsidRDefault="00022316" w:rsidP="007422CB">
            <w:pPr>
              <w:pStyle w:val="Compact"/>
              <w:rPr>
                <w:sz w:val="20"/>
                <w:szCs w:val="20"/>
              </w:rPr>
            </w:pPr>
            <w:r>
              <w:rPr>
                <w:sz w:val="20"/>
                <w:szCs w:val="20"/>
              </w:rPr>
              <w:t xml:space="preserve">   </w:t>
            </w:r>
            <w:r w:rsidRPr="00022316">
              <w:rPr>
                <w:sz w:val="20"/>
                <w:szCs w:val="20"/>
              </w:rPr>
              <w:t>Pre-eclampsia</w:t>
            </w:r>
          </w:p>
        </w:tc>
        <w:tc>
          <w:tcPr>
            <w:tcW w:w="0" w:type="auto"/>
            <w:tcBorders>
              <w:bottom w:val="single" w:sz="4" w:space="0" w:color="auto"/>
              <w:right w:val="single" w:sz="4" w:space="0" w:color="auto"/>
            </w:tcBorders>
          </w:tcPr>
          <w:p w14:paraId="120C3B3F" w14:textId="77777777" w:rsidR="00022316" w:rsidRPr="00022316" w:rsidRDefault="00022316" w:rsidP="007422CB">
            <w:pPr>
              <w:pStyle w:val="Compact"/>
              <w:jc w:val="center"/>
              <w:rPr>
                <w:sz w:val="20"/>
                <w:szCs w:val="20"/>
              </w:rPr>
            </w:pPr>
            <w:r w:rsidRPr="00022316">
              <w:rPr>
                <w:sz w:val="20"/>
                <w:szCs w:val="20"/>
              </w:rPr>
              <w:t>238 (9.2%)</w:t>
            </w:r>
          </w:p>
        </w:tc>
      </w:tr>
      <w:tr w:rsidR="00022316" w14:paraId="479FB946" w14:textId="77777777" w:rsidTr="00022316">
        <w:tc>
          <w:tcPr>
            <w:tcW w:w="0" w:type="auto"/>
            <w:tcBorders>
              <w:top w:val="single" w:sz="4" w:space="0" w:color="auto"/>
              <w:left w:val="single" w:sz="4" w:space="0" w:color="auto"/>
            </w:tcBorders>
          </w:tcPr>
          <w:p w14:paraId="7E601D5E" w14:textId="5BE90CF0" w:rsidR="00022316" w:rsidRPr="00022316" w:rsidRDefault="00022316" w:rsidP="007422CB">
            <w:pPr>
              <w:pStyle w:val="Compact"/>
              <w:rPr>
                <w:sz w:val="20"/>
                <w:szCs w:val="20"/>
              </w:rPr>
            </w:pPr>
            <w:r w:rsidRPr="00022316">
              <w:rPr>
                <w:sz w:val="20"/>
                <w:szCs w:val="20"/>
              </w:rPr>
              <w:t>Stillbirth</w:t>
            </w:r>
            <w:r>
              <w:rPr>
                <w:sz w:val="20"/>
                <w:szCs w:val="20"/>
              </w:rPr>
              <w:t xml:space="preserve"> Status</w:t>
            </w:r>
          </w:p>
        </w:tc>
        <w:tc>
          <w:tcPr>
            <w:tcW w:w="0" w:type="auto"/>
            <w:tcBorders>
              <w:top w:val="single" w:sz="4" w:space="0" w:color="auto"/>
              <w:right w:val="single" w:sz="4" w:space="0" w:color="auto"/>
            </w:tcBorders>
          </w:tcPr>
          <w:p w14:paraId="48538846" w14:textId="77777777" w:rsidR="00022316" w:rsidRPr="00022316" w:rsidRDefault="00022316" w:rsidP="007422CB">
            <w:pPr>
              <w:pStyle w:val="Compact"/>
              <w:rPr>
                <w:sz w:val="20"/>
                <w:szCs w:val="20"/>
              </w:rPr>
            </w:pPr>
          </w:p>
        </w:tc>
      </w:tr>
      <w:tr w:rsidR="00022316" w14:paraId="63BFCFBA" w14:textId="77777777" w:rsidTr="00022316">
        <w:tc>
          <w:tcPr>
            <w:tcW w:w="0" w:type="auto"/>
            <w:tcBorders>
              <w:left w:val="single" w:sz="4" w:space="0" w:color="auto"/>
            </w:tcBorders>
          </w:tcPr>
          <w:p w14:paraId="55939615" w14:textId="7DA340DF" w:rsidR="00022316" w:rsidRPr="00022316" w:rsidRDefault="00022316" w:rsidP="007422CB">
            <w:pPr>
              <w:pStyle w:val="Compact"/>
              <w:rPr>
                <w:sz w:val="20"/>
                <w:szCs w:val="20"/>
              </w:rPr>
            </w:pPr>
            <w:r>
              <w:rPr>
                <w:sz w:val="20"/>
                <w:szCs w:val="20"/>
              </w:rPr>
              <w:t xml:space="preserve">   </w:t>
            </w:r>
            <w:r w:rsidRPr="00022316">
              <w:rPr>
                <w:sz w:val="20"/>
                <w:szCs w:val="20"/>
              </w:rPr>
              <w:t>Live Birth</w:t>
            </w:r>
          </w:p>
        </w:tc>
        <w:tc>
          <w:tcPr>
            <w:tcW w:w="0" w:type="auto"/>
            <w:tcBorders>
              <w:right w:val="single" w:sz="4" w:space="0" w:color="auto"/>
            </w:tcBorders>
          </w:tcPr>
          <w:p w14:paraId="19F193CD" w14:textId="77777777" w:rsidR="00022316" w:rsidRPr="00022316" w:rsidRDefault="00022316" w:rsidP="007422CB">
            <w:pPr>
              <w:pStyle w:val="Compact"/>
              <w:jc w:val="center"/>
              <w:rPr>
                <w:sz w:val="20"/>
                <w:szCs w:val="20"/>
              </w:rPr>
            </w:pPr>
            <w:r w:rsidRPr="00022316">
              <w:rPr>
                <w:sz w:val="20"/>
                <w:szCs w:val="20"/>
              </w:rPr>
              <w:t>2,561 (99%)</w:t>
            </w:r>
          </w:p>
        </w:tc>
      </w:tr>
      <w:tr w:rsidR="00022316" w14:paraId="5A31B9A0" w14:textId="77777777" w:rsidTr="00022316">
        <w:tc>
          <w:tcPr>
            <w:tcW w:w="0" w:type="auto"/>
            <w:tcBorders>
              <w:left w:val="single" w:sz="4" w:space="0" w:color="auto"/>
              <w:bottom w:val="single" w:sz="4" w:space="0" w:color="auto"/>
            </w:tcBorders>
          </w:tcPr>
          <w:p w14:paraId="5090EB82" w14:textId="0C3C9998" w:rsidR="00022316" w:rsidRPr="00022316" w:rsidRDefault="00022316" w:rsidP="007422CB">
            <w:pPr>
              <w:pStyle w:val="Compact"/>
              <w:rPr>
                <w:sz w:val="20"/>
                <w:szCs w:val="20"/>
              </w:rPr>
            </w:pPr>
            <w:r>
              <w:rPr>
                <w:sz w:val="20"/>
                <w:szCs w:val="20"/>
              </w:rPr>
              <w:t xml:space="preserve">   </w:t>
            </w:r>
            <w:r w:rsidRPr="00022316">
              <w:rPr>
                <w:sz w:val="20"/>
                <w:szCs w:val="20"/>
              </w:rPr>
              <w:t>Stillbirth</w:t>
            </w:r>
          </w:p>
        </w:tc>
        <w:tc>
          <w:tcPr>
            <w:tcW w:w="0" w:type="auto"/>
            <w:tcBorders>
              <w:bottom w:val="single" w:sz="4" w:space="0" w:color="auto"/>
              <w:right w:val="single" w:sz="4" w:space="0" w:color="auto"/>
            </w:tcBorders>
          </w:tcPr>
          <w:p w14:paraId="62A7CB5E" w14:textId="77777777" w:rsidR="00022316" w:rsidRPr="00022316" w:rsidRDefault="00022316" w:rsidP="007422CB">
            <w:pPr>
              <w:pStyle w:val="Compact"/>
              <w:jc w:val="center"/>
              <w:rPr>
                <w:sz w:val="20"/>
                <w:szCs w:val="20"/>
              </w:rPr>
            </w:pPr>
            <w:r w:rsidRPr="00022316">
              <w:rPr>
                <w:sz w:val="20"/>
                <w:szCs w:val="20"/>
              </w:rPr>
              <w:t>17 (0.7%)</w:t>
            </w:r>
          </w:p>
        </w:tc>
      </w:tr>
      <w:tr w:rsidR="00022316" w14:paraId="54B6CB55" w14:textId="77777777" w:rsidTr="00022316">
        <w:tc>
          <w:tcPr>
            <w:tcW w:w="0" w:type="auto"/>
            <w:tcBorders>
              <w:top w:val="single" w:sz="4" w:space="0" w:color="auto"/>
              <w:left w:val="single" w:sz="4" w:space="0" w:color="auto"/>
            </w:tcBorders>
          </w:tcPr>
          <w:p w14:paraId="40AB1F38" w14:textId="23AE9A87" w:rsidR="00022316" w:rsidRPr="00022316" w:rsidRDefault="00022316" w:rsidP="007422CB">
            <w:pPr>
              <w:pStyle w:val="Compact"/>
              <w:rPr>
                <w:sz w:val="20"/>
                <w:szCs w:val="20"/>
              </w:rPr>
            </w:pPr>
            <w:r>
              <w:rPr>
                <w:sz w:val="20"/>
                <w:szCs w:val="20"/>
              </w:rPr>
              <w:t>Single/m</w:t>
            </w:r>
            <w:r w:rsidRPr="00022316">
              <w:rPr>
                <w:sz w:val="20"/>
                <w:szCs w:val="20"/>
              </w:rPr>
              <w:t>ulti</w:t>
            </w:r>
            <w:r>
              <w:rPr>
                <w:sz w:val="20"/>
                <w:szCs w:val="20"/>
              </w:rPr>
              <w:t xml:space="preserve">ple </w:t>
            </w:r>
            <w:r w:rsidRPr="00022316">
              <w:rPr>
                <w:sz w:val="20"/>
                <w:szCs w:val="20"/>
              </w:rPr>
              <w:t>gestation</w:t>
            </w:r>
          </w:p>
        </w:tc>
        <w:tc>
          <w:tcPr>
            <w:tcW w:w="0" w:type="auto"/>
            <w:tcBorders>
              <w:top w:val="single" w:sz="4" w:space="0" w:color="auto"/>
              <w:right w:val="single" w:sz="4" w:space="0" w:color="auto"/>
            </w:tcBorders>
          </w:tcPr>
          <w:p w14:paraId="7FD976FD" w14:textId="77777777" w:rsidR="00022316" w:rsidRPr="00022316" w:rsidRDefault="00022316" w:rsidP="007422CB">
            <w:pPr>
              <w:pStyle w:val="Compact"/>
              <w:rPr>
                <w:sz w:val="20"/>
                <w:szCs w:val="20"/>
              </w:rPr>
            </w:pPr>
          </w:p>
        </w:tc>
      </w:tr>
      <w:tr w:rsidR="00022316" w14:paraId="005B18AC" w14:textId="77777777" w:rsidTr="00022316">
        <w:tc>
          <w:tcPr>
            <w:tcW w:w="0" w:type="auto"/>
            <w:tcBorders>
              <w:left w:val="single" w:sz="4" w:space="0" w:color="auto"/>
            </w:tcBorders>
          </w:tcPr>
          <w:p w14:paraId="03A36CCD" w14:textId="10FA3F50" w:rsidR="00022316" w:rsidRPr="00022316" w:rsidRDefault="00022316" w:rsidP="007422CB">
            <w:pPr>
              <w:pStyle w:val="Compact"/>
              <w:rPr>
                <w:sz w:val="20"/>
                <w:szCs w:val="20"/>
              </w:rPr>
            </w:pPr>
            <w:r>
              <w:rPr>
                <w:sz w:val="20"/>
                <w:szCs w:val="20"/>
              </w:rPr>
              <w:t xml:space="preserve">   </w:t>
            </w:r>
            <w:r w:rsidRPr="00022316">
              <w:rPr>
                <w:sz w:val="20"/>
                <w:szCs w:val="20"/>
              </w:rPr>
              <w:t>Multiple Gestation</w:t>
            </w:r>
          </w:p>
        </w:tc>
        <w:tc>
          <w:tcPr>
            <w:tcW w:w="0" w:type="auto"/>
            <w:tcBorders>
              <w:right w:val="single" w:sz="4" w:space="0" w:color="auto"/>
            </w:tcBorders>
          </w:tcPr>
          <w:p w14:paraId="2F919DAF" w14:textId="77777777" w:rsidR="00022316" w:rsidRPr="00022316" w:rsidRDefault="00022316" w:rsidP="007422CB">
            <w:pPr>
              <w:pStyle w:val="Compact"/>
              <w:jc w:val="center"/>
              <w:rPr>
                <w:sz w:val="20"/>
                <w:szCs w:val="20"/>
              </w:rPr>
            </w:pPr>
            <w:r w:rsidRPr="00022316">
              <w:rPr>
                <w:sz w:val="20"/>
                <w:szCs w:val="20"/>
              </w:rPr>
              <w:t>44 (1.7%)</w:t>
            </w:r>
          </w:p>
        </w:tc>
      </w:tr>
      <w:tr w:rsidR="00022316" w14:paraId="449DFDEB" w14:textId="77777777" w:rsidTr="00022316">
        <w:tc>
          <w:tcPr>
            <w:tcW w:w="0" w:type="auto"/>
            <w:tcBorders>
              <w:left w:val="single" w:sz="4" w:space="0" w:color="auto"/>
              <w:bottom w:val="single" w:sz="4" w:space="0" w:color="auto"/>
            </w:tcBorders>
          </w:tcPr>
          <w:p w14:paraId="41CE26A5" w14:textId="4B4C65B2" w:rsidR="00022316" w:rsidRPr="00022316" w:rsidRDefault="00022316" w:rsidP="007422CB">
            <w:pPr>
              <w:pStyle w:val="Compact"/>
              <w:rPr>
                <w:sz w:val="20"/>
                <w:szCs w:val="20"/>
              </w:rPr>
            </w:pPr>
            <w:r>
              <w:rPr>
                <w:sz w:val="20"/>
                <w:szCs w:val="20"/>
              </w:rPr>
              <w:t xml:space="preserve">   </w:t>
            </w:r>
            <w:r w:rsidRPr="00022316">
              <w:rPr>
                <w:sz w:val="20"/>
                <w:szCs w:val="20"/>
              </w:rPr>
              <w:t>Singleton</w:t>
            </w:r>
          </w:p>
        </w:tc>
        <w:tc>
          <w:tcPr>
            <w:tcW w:w="0" w:type="auto"/>
            <w:tcBorders>
              <w:bottom w:val="single" w:sz="4" w:space="0" w:color="auto"/>
              <w:right w:val="single" w:sz="4" w:space="0" w:color="auto"/>
            </w:tcBorders>
          </w:tcPr>
          <w:p w14:paraId="1CAD6F92" w14:textId="77777777" w:rsidR="00022316" w:rsidRPr="00022316" w:rsidRDefault="00022316" w:rsidP="007422CB">
            <w:pPr>
              <w:pStyle w:val="Compact"/>
              <w:jc w:val="center"/>
              <w:rPr>
                <w:sz w:val="20"/>
                <w:szCs w:val="20"/>
              </w:rPr>
            </w:pPr>
            <w:r w:rsidRPr="00022316">
              <w:rPr>
                <w:sz w:val="20"/>
                <w:szCs w:val="20"/>
              </w:rPr>
              <w:t>2,534 (98%)</w:t>
            </w:r>
          </w:p>
        </w:tc>
      </w:tr>
      <w:tr w:rsidR="00022316" w14:paraId="660F8DCE" w14:textId="77777777" w:rsidTr="00022316">
        <w:tc>
          <w:tcPr>
            <w:tcW w:w="0" w:type="auto"/>
            <w:tcBorders>
              <w:top w:val="single" w:sz="4" w:space="0" w:color="auto"/>
              <w:left w:val="single" w:sz="4" w:space="0" w:color="auto"/>
            </w:tcBorders>
          </w:tcPr>
          <w:p w14:paraId="7C22FDF4" w14:textId="77777777" w:rsidR="00022316" w:rsidRPr="00022316" w:rsidRDefault="00022316" w:rsidP="007422CB">
            <w:pPr>
              <w:pStyle w:val="Compact"/>
              <w:rPr>
                <w:sz w:val="20"/>
                <w:szCs w:val="20"/>
              </w:rPr>
            </w:pPr>
            <w:r w:rsidRPr="00022316">
              <w:rPr>
                <w:sz w:val="20"/>
                <w:szCs w:val="20"/>
              </w:rPr>
              <w:t>Maternal Mortality</w:t>
            </w:r>
          </w:p>
        </w:tc>
        <w:tc>
          <w:tcPr>
            <w:tcW w:w="0" w:type="auto"/>
            <w:tcBorders>
              <w:top w:val="single" w:sz="4" w:space="0" w:color="auto"/>
              <w:right w:val="single" w:sz="4" w:space="0" w:color="auto"/>
            </w:tcBorders>
          </w:tcPr>
          <w:p w14:paraId="657574D2" w14:textId="77777777" w:rsidR="00022316" w:rsidRPr="00022316" w:rsidRDefault="00022316" w:rsidP="007422CB">
            <w:pPr>
              <w:pStyle w:val="Compact"/>
              <w:rPr>
                <w:sz w:val="20"/>
                <w:szCs w:val="20"/>
              </w:rPr>
            </w:pPr>
          </w:p>
        </w:tc>
      </w:tr>
      <w:tr w:rsidR="00022316" w14:paraId="642A5264" w14:textId="77777777" w:rsidTr="00022316">
        <w:tc>
          <w:tcPr>
            <w:tcW w:w="0" w:type="auto"/>
            <w:tcBorders>
              <w:left w:val="single" w:sz="4" w:space="0" w:color="auto"/>
            </w:tcBorders>
          </w:tcPr>
          <w:p w14:paraId="7DBFF8CA" w14:textId="0351A62D" w:rsidR="00022316" w:rsidRPr="00022316" w:rsidRDefault="00022316" w:rsidP="007422CB">
            <w:pPr>
              <w:pStyle w:val="Compact"/>
              <w:rPr>
                <w:sz w:val="20"/>
                <w:szCs w:val="20"/>
              </w:rPr>
            </w:pPr>
            <w:r>
              <w:rPr>
                <w:sz w:val="20"/>
                <w:szCs w:val="20"/>
              </w:rPr>
              <w:t xml:space="preserve">   </w:t>
            </w:r>
            <w:r w:rsidRPr="00022316">
              <w:rPr>
                <w:sz w:val="20"/>
                <w:szCs w:val="20"/>
              </w:rPr>
              <w:t>Mother Alive</w:t>
            </w:r>
          </w:p>
        </w:tc>
        <w:tc>
          <w:tcPr>
            <w:tcW w:w="0" w:type="auto"/>
            <w:tcBorders>
              <w:right w:val="single" w:sz="4" w:space="0" w:color="auto"/>
            </w:tcBorders>
          </w:tcPr>
          <w:p w14:paraId="48B85F3C" w14:textId="77777777" w:rsidR="00022316" w:rsidRPr="00022316" w:rsidRDefault="00022316" w:rsidP="007422CB">
            <w:pPr>
              <w:pStyle w:val="Compact"/>
              <w:jc w:val="center"/>
              <w:rPr>
                <w:sz w:val="20"/>
                <w:szCs w:val="20"/>
              </w:rPr>
            </w:pPr>
            <w:r w:rsidRPr="00022316">
              <w:rPr>
                <w:sz w:val="20"/>
                <w:szCs w:val="20"/>
              </w:rPr>
              <w:t>2,573 (100%)</w:t>
            </w:r>
          </w:p>
        </w:tc>
      </w:tr>
      <w:tr w:rsidR="00022316" w14:paraId="4F5EE27B" w14:textId="77777777" w:rsidTr="00022316">
        <w:tc>
          <w:tcPr>
            <w:tcW w:w="0" w:type="auto"/>
            <w:tcBorders>
              <w:left w:val="single" w:sz="4" w:space="0" w:color="auto"/>
              <w:bottom w:val="single" w:sz="4" w:space="0" w:color="auto"/>
            </w:tcBorders>
          </w:tcPr>
          <w:p w14:paraId="46A7BF1D" w14:textId="050082EA" w:rsidR="00022316" w:rsidRPr="00022316" w:rsidRDefault="00022316" w:rsidP="007422CB">
            <w:pPr>
              <w:pStyle w:val="Compact"/>
              <w:rPr>
                <w:sz w:val="20"/>
                <w:szCs w:val="20"/>
              </w:rPr>
            </w:pPr>
            <w:r>
              <w:rPr>
                <w:sz w:val="20"/>
                <w:szCs w:val="20"/>
              </w:rPr>
              <w:t xml:space="preserve">   </w:t>
            </w:r>
            <w:r w:rsidRPr="00022316">
              <w:rPr>
                <w:sz w:val="20"/>
                <w:szCs w:val="20"/>
              </w:rPr>
              <w:t>Unknown</w:t>
            </w:r>
          </w:p>
        </w:tc>
        <w:tc>
          <w:tcPr>
            <w:tcW w:w="0" w:type="auto"/>
            <w:tcBorders>
              <w:bottom w:val="single" w:sz="4" w:space="0" w:color="auto"/>
              <w:right w:val="single" w:sz="4" w:space="0" w:color="auto"/>
            </w:tcBorders>
          </w:tcPr>
          <w:p w14:paraId="2C5B8DE2" w14:textId="77777777" w:rsidR="00022316" w:rsidRPr="00022316" w:rsidRDefault="00022316" w:rsidP="007422CB">
            <w:pPr>
              <w:pStyle w:val="Compact"/>
              <w:jc w:val="center"/>
              <w:rPr>
                <w:sz w:val="20"/>
                <w:szCs w:val="20"/>
              </w:rPr>
            </w:pPr>
            <w:r w:rsidRPr="00022316">
              <w:rPr>
                <w:sz w:val="20"/>
                <w:szCs w:val="20"/>
              </w:rPr>
              <w:t>5</w:t>
            </w:r>
          </w:p>
        </w:tc>
      </w:tr>
      <w:tr w:rsidR="00022316" w14:paraId="755EC12C" w14:textId="77777777" w:rsidTr="00022316">
        <w:tc>
          <w:tcPr>
            <w:tcW w:w="0" w:type="auto"/>
            <w:tcBorders>
              <w:top w:val="single" w:sz="4" w:space="0" w:color="auto"/>
              <w:left w:val="single" w:sz="4" w:space="0" w:color="auto"/>
            </w:tcBorders>
          </w:tcPr>
          <w:p w14:paraId="06235830" w14:textId="77777777" w:rsidR="00022316" w:rsidRPr="00022316" w:rsidRDefault="00022316" w:rsidP="007422CB">
            <w:pPr>
              <w:pStyle w:val="Compact"/>
              <w:rPr>
                <w:sz w:val="20"/>
                <w:szCs w:val="20"/>
              </w:rPr>
            </w:pPr>
            <w:r w:rsidRPr="00022316">
              <w:rPr>
                <w:sz w:val="20"/>
                <w:szCs w:val="20"/>
              </w:rPr>
              <w:t>Asthma Status</w:t>
            </w:r>
          </w:p>
        </w:tc>
        <w:tc>
          <w:tcPr>
            <w:tcW w:w="0" w:type="auto"/>
            <w:tcBorders>
              <w:top w:val="single" w:sz="4" w:space="0" w:color="auto"/>
              <w:right w:val="single" w:sz="4" w:space="0" w:color="auto"/>
            </w:tcBorders>
          </w:tcPr>
          <w:p w14:paraId="14FAD234" w14:textId="77777777" w:rsidR="00022316" w:rsidRPr="00022316" w:rsidRDefault="00022316" w:rsidP="007422CB">
            <w:pPr>
              <w:pStyle w:val="Compact"/>
              <w:rPr>
                <w:sz w:val="20"/>
                <w:szCs w:val="20"/>
              </w:rPr>
            </w:pPr>
          </w:p>
        </w:tc>
      </w:tr>
      <w:tr w:rsidR="00022316" w14:paraId="7E7241B5" w14:textId="77777777" w:rsidTr="00022316">
        <w:tc>
          <w:tcPr>
            <w:tcW w:w="0" w:type="auto"/>
            <w:tcBorders>
              <w:left w:val="single" w:sz="4" w:space="0" w:color="auto"/>
            </w:tcBorders>
          </w:tcPr>
          <w:p w14:paraId="4F259C3C" w14:textId="44B79869" w:rsidR="00022316" w:rsidRPr="00022316" w:rsidRDefault="00022316" w:rsidP="007422CB">
            <w:pPr>
              <w:pStyle w:val="Compact"/>
              <w:rPr>
                <w:sz w:val="20"/>
                <w:szCs w:val="20"/>
              </w:rPr>
            </w:pPr>
            <w:r>
              <w:rPr>
                <w:sz w:val="20"/>
                <w:szCs w:val="20"/>
              </w:rPr>
              <w:t xml:space="preserve">   </w:t>
            </w:r>
            <w:r w:rsidRPr="00022316">
              <w:rPr>
                <w:sz w:val="20"/>
                <w:szCs w:val="20"/>
              </w:rPr>
              <w:t>Asthma</w:t>
            </w:r>
          </w:p>
        </w:tc>
        <w:tc>
          <w:tcPr>
            <w:tcW w:w="0" w:type="auto"/>
            <w:tcBorders>
              <w:right w:val="single" w:sz="4" w:space="0" w:color="auto"/>
            </w:tcBorders>
          </w:tcPr>
          <w:p w14:paraId="70E78F52" w14:textId="77777777" w:rsidR="00022316" w:rsidRPr="00022316" w:rsidRDefault="00022316" w:rsidP="007422CB">
            <w:pPr>
              <w:pStyle w:val="Compact"/>
              <w:jc w:val="center"/>
              <w:rPr>
                <w:sz w:val="20"/>
                <w:szCs w:val="20"/>
              </w:rPr>
            </w:pPr>
            <w:r w:rsidRPr="00022316">
              <w:rPr>
                <w:sz w:val="20"/>
                <w:szCs w:val="20"/>
              </w:rPr>
              <w:t>266 (10%)</w:t>
            </w:r>
          </w:p>
        </w:tc>
      </w:tr>
      <w:tr w:rsidR="00022316" w14:paraId="67C04CFD" w14:textId="77777777" w:rsidTr="00022316">
        <w:tc>
          <w:tcPr>
            <w:tcW w:w="0" w:type="auto"/>
            <w:tcBorders>
              <w:left w:val="single" w:sz="4" w:space="0" w:color="auto"/>
              <w:bottom w:val="single" w:sz="4" w:space="0" w:color="auto"/>
            </w:tcBorders>
          </w:tcPr>
          <w:p w14:paraId="004FC5F4" w14:textId="5474FB4C" w:rsidR="00022316" w:rsidRPr="00022316" w:rsidRDefault="00022316" w:rsidP="007422CB">
            <w:pPr>
              <w:pStyle w:val="Compact"/>
              <w:rPr>
                <w:sz w:val="20"/>
                <w:szCs w:val="20"/>
              </w:rPr>
            </w:pPr>
            <w:r>
              <w:rPr>
                <w:sz w:val="20"/>
                <w:szCs w:val="20"/>
              </w:rPr>
              <w:t xml:space="preserve">   </w:t>
            </w:r>
            <w:r w:rsidRPr="00022316">
              <w:rPr>
                <w:sz w:val="20"/>
                <w:szCs w:val="20"/>
              </w:rPr>
              <w:t>No Asthma</w:t>
            </w:r>
          </w:p>
        </w:tc>
        <w:tc>
          <w:tcPr>
            <w:tcW w:w="0" w:type="auto"/>
            <w:tcBorders>
              <w:bottom w:val="single" w:sz="4" w:space="0" w:color="auto"/>
              <w:right w:val="single" w:sz="4" w:space="0" w:color="auto"/>
            </w:tcBorders>
          </w:tcPr>
          <w:p w14:paraId="0F69C53C" w14:textId="77777777" w:rsidR="00022316" w:rsidRPr="00022316" w:rsidRDefault="00022316" w:rsidP="007422CB">
            <w:pPr>
              <w:pStyle w:val="Compact"/>
              <w:jc w:val="center"/>
              <w:rPr>
                <w:sz w:val="20"/>
                <w:szCs w:val="20"/>
              </w:rPr>
            </w:pPr>
            <w:r w:rsidRPr="00022316">
              <w:rPr>
                <w:sz w:val="20"/>
                <w:szCs w:val="20"/>
              </w:rPr>
              <w:t>2,312 (90%)</w:t>
            </w:r>
          </w:p>
        </w:tc>
      </w:tr>
      <w:tr w:rsidR="00022316" w14:paraId="69468C77" w14:textId="77777777" w:rsidTr="00022316">
        <w:tc>
          <w:tcPr>
            <w:tcW w:w="0" w:type="auto"/>
            <w:tcBorders>
              <w:top w:val="single" w:sz="4" w:space="0" w:color="auto"/>
              <w:left w:val="single" w:sz="4" w:space="0" w:color="auto"/>
            </w:tcBorders>
          </w:tcPr>
          <w:p w14:paraId="575664F9" w14:textId="77777777" w:rsidR="00022316" w:rsidRPr="00022316" w:rsidRDefault="00022316" w:rsidP="007422CB">
            <w:pPr>
              <w:pStyle w:val="Compact"/>
              <w:rPr>
                <w:sz w:val="20"/>
                <w:szCs w:val="20"/>
              </w:rPr>
            </w:pPr>
            <w:r w:rsidRPr="00022316">
              <w:rPr>
                <w:sz w:val="20"/>
                <w:szCs w:val="20"/>
              </w:rPr>
              <w:t>Diabetes Status</w:t>
            </w:r>
          </w:p>
        </w:tc>
        <w:tc>
          <w:tcPr>
            <w:tcW w:w="0" w:type="auto"/>
            <w:tcBorders>
              <w:top w:val="single" w:sz="4" w:space="0" w:color="auto"/>
              <w:right w:val="single" w:sz="4" w:space="0" w:color="auto"/>
            </w:tcBorders>
          </w:tcPr>
          <w:p w14:paraId="286C996C" w14:textId="77777777" w:rsidR="00022316" w:rsidRPr="00022316" w:rsidRDefault="00022316" w:rsidP="007422CB">
            <w:pPr>
              <w:pStyle w:val="Compact"/>
              <w:rPr>
                <w:sz w:val="20"/>
                <w:szCs w:val="20"/>
              </w:rPr>
            </w:pPr>
          </w:p>
        </w:tc>
      </w:tr>
      <w:tr w:rsidR="00022316" w14:paraId="36A88A52" w14:textId="77777777" w:rsidTr="00022316">
        <w:tc>
          <w:tcPr>
            <w:tcW w:w="0" w:type="auto"/>
            <w:tcBorders>
              <w:left w:val="single" w:sz="4" w:space="0" w:color="auto"/>
            </w:tcBorders>
          </w:tcPr>
          <w:p w14:paraId="52878EF7" w14:textId="638C4A82" w:rsidR="00022316" w:rsidRPr="00022316" w:rsidRDefault="00022316" w:rsidP="007422CB">
            <w:pPr>
              <w:pStyle w:val="Compact"/>
              <w:rPr>
                <w:sz w:val="20"/>
                <w:szCs w:val="20"/>
              </w:rPr>
            </w:pPr>
            <w:r>
              <w:rPr>
                <w:sz w:val="20"/>
                <w:szCs w:val="20"/>
              </w:rPr>
              <w:t xml:space="preserve">   </w:t>
            </w:r>
            <w:r w:rsidRPr="00022316">
              <w:rPr>
                <w:sz w:val="20"/>
                <w:szCs w:val="20"/>
              </w:rPr>
              <w:t>Diabetes</w:t>
            </w:r>
          </w:p>
        </w:tc>
        <w:tc>
          <w:tcPr>
            <w:tcW w:w="0" w:type="auto"/>
            <w:tcBorders>
              <w:right w:val="single" w:sz="4" w:space="0" w:color="auto"/>
            </w:tcBorders>
          </w:tcPr>
          <w:p w14:paraId="35847C7D" w14:textId="77777777" w:rsidR="00022316" w:rsidRPr="00022316" w:rsidRDefault="00022316" w:rsidP="007422CB">
            <w:pPr>
              <w:pStyle w:val="Compact"/>
              <w:jc w:val="center"/>
              <w:rPr>
                <w:sz w:val="20"/>
                <w:szCs w:val="20"/>
              </w:rPr>
            </w:pPr>
            <w:r w:rsidRPr="00022316">
              <w:rPr>
                <w:sz w:val="20"/>
                <w:szCs w:val="20"/>
              </w:rPr>
              <w:t>57 (2.2%)</w:t>
            </w:r>
          </w:p>
        </w:tc>
      </w:tr>
      <w:tr w:rsidR="00022316" w14:paraId="1BFA83E2" w14:textId="77777777" w:rsidTr="00022316">
        <w:tc>
          <w:tcPr>
            <w:tcW w:w="0" w:type="auto"/>
            <w:tcBorders>
              <w:left w:val="single" w:sz="4" w:space="0" w:color="auto"/>
              <w:bottom w:val="single" w:sz="4" w:space="0" w:color="auto"/>
            </w:tcBorders>
          </w:tcPr>
          <w:p w14:paraId="7ACF4D7E" w14:textId="1B47E1BE" w:rsidR="00022316" w:rsidRPr="00022316" w:rsidRDefault="00022316" w:rsidP="007422CB">
            <w:pPr>
              <w:pStyle w:val="Compact"/>
              <w:rPr>
                <w:sz w:val="20"/>
                <w:szCs w:val="20"/>
              </w:rPr>
            </w:pPr>
            <w:r>
              <w:rPr>
                <w:sz w:val="20"/>
                <w:szCs w:val="20"/>
              </w:rPr>
              <w:t xml:space="preserve">   </w:t>
            </w:r>
            <w:r w:rsidRPr="00022316">
              <w:rPr>
                <w:sz w:val="20"/>
                <w:szCs w:val="20"/>
              </w:rPr>
              <w:t>No Diabetes</w:t>
            </w:r>
          </w:p>
        </w:tc>
        <w:tc>
          <w:tcPr>
            <w:tcW w:w="0" w:type="auto"/>
            <w:tcBorders>
              <w:bottom w:val="single" w:sz="4" w:space="0" w:color="auto"/>
              <w:right w:val="single" w:sz="4" w:space="0" w:color="auto"/>
            </w:tcBorders>
          </w:tcPr>
          <w:p w14:paraId="7DDCD594" w14:textId="77777777" w:rsidR="00022316" w:rsidRPr="00022316" w:rsidRDefault="00022316" w:rsidP="007422CB">
            <w:pPr>
              <w:pStyle w:val="Compact"/>
              <w:jc w:val="center"/>
              <w:rPr>
                <w:sz w:val="20"/>
                <w:szCs w:val="20"/>
              </w:rPr>
            </w:pPr>
            <w:r w:rsidRPr="00022316">
              <w:rPr>
                <w:sz w:val="20"/>
                <w:szCs w:val="20"/>
              </w:rPr>
              <w:t>2,521 (98%)</w:t>
            </w:r>
          </w:p>
        </w:tc>
      </w:tr>
      <w:tr w:rsidR="00022316" w14:paraId="1E53D27A" w14:textId="77777777" w:rsidTr="00022316">
        <w:tc>
          <w:tcPr>
            <w:tcW w:w="0" w:type="auto"/>
            <w:tcBorders>
              <w:top w:val="single" w:sz="4" w:space="0" w:color="auto"/>
              <w:left w:val="single" w:sz="4" w:space="0" w:color="auto"/>
            </w:tcBorders>
          </w:tcPr>
          <w:p w14:paraId="74A224FA" w14:textId="77777777" w:rsidR="00022316" w:rsidRPr="00022316" w:rsidRDefault="00022316" w:rsidP="007422CB">
            <w:pPr>
              <w:pStyle w:val="Compact"/>
              <w:rPr>
                <w:sz w:val="20"/>
                <w:szCs w:val="20"/>
              </w:rPr>
            </w:pPr>
            <w:r w:rsidRPr="00022316">
              <w:rPr>
                <w:sz w:val="20"/>
                <w:szCs w:val="20"/>
              </w:rPr>
              <w:lastRenderedPageBreak/>
              <w:t>Smoking Status</w:t>
            </w:r>
          </w:p>
        </w:tc>
        <w:tc>
          <w:tcPr>
            <w:tcW w:w="0" w:type="auto"/>
            <w:tcBorders>
              <w:top w:val="single" w:sz="4" w:space="0" w:color="auto"/>
              <w:right w:val="single" w:sz="4" w:space="0" w:color="auto"/>
            </w:tcBorders>
          </w:tcPr>
          <w:p w14:paraId="0B718DA6" w14:textId="77777777" w:rsidR="00022316" w:rsidRPr="00022316" w:rsidRDefault="00022316" w:rsidP="007422CB">
            <w:pPr>
              <w:pStyle w:val="Compact"/>
              <w:rPr>
                <w:sz w:val="20"/>
                <w:szCs w:val="20"/>
              </w:rPr>
            </w:pPr>
          </w:p>
        </w:tc>
      </w:tr>
      <w:tr w:rsidR="00022316" w14:paraId="094C4AEC" w14:textId="77777777" w:rsidTr="00022316">
        <w:tc>
          <w:tcPr>
            <w:tcW w:w="0" w:type="auto"/>
            <w:tcBorders>
              <w:left w:val="single" w:sz="4" w:space="0" w:color="auto"/>
            </w:tcBorders>
          </w:tcPr>
          <w:p w14:paraId="10BE5C81" w14:textId="406BEBA2" w:rsidR="00022316" w:rsidRPr="00022316" w:rsidRDefault="00022316" w:rsidP="007422CB">
            <w:pPr>
              <w:pStyle w:val="Compact"/>
              <w:rPr>
                <w:sz w:val="20"/>
                <w:szCs w:val="20"/>
              </w:rPr>
            </w:pPr>
            <w:r>
              <w:rPr>
                <w:sz w:val="20"/>
                <w:szCs w:val="20"/>
              </w:rPr>
              <w:t xml:space="preserve">   </w:t>
            </w:r>
            <w:r w:rsidRPr="00022316">
              <w:rPr>
                <w:sz w:val="20"/>
                <w:szCs w:val="20"/>
              </w:rPr>
              <w:t>Ever Smoker</w:t>
            </w:r>
          </w:p>
        </w:tc>
        <w:tc>
          <w:tcPr>
            <w:tcW w:w="0" w:type="auto"/>
            <w:tcBorders>
              <w:right w:val="single" w:sz="4" w:space="0" w:color="auto"/>
            </w:tcBorders>
          </w:tcPr>
          <w:p w14:paraId="71EF6D98" w14:textId="77777777" w:rsidR="00022316" w:rsidRPr="00022316" w:rsidRDefault="00022316" w:rsidP="007422CB">
            <w:pPr>
              <w:pStyle w:val="Compact"/>
              <w:jc w:val="center"/>
              <w:rPr>
                <w:sz w:val="20"/>
                <w:szCs w:val="20"/>
              </w:rPr>
            </w:pPr>
            <w:r w:rsidRPr="00022316">
              <w:rPr>
                <w:sz w:val="20"/>
                <w:szCs w:val="20"/>
              </w:rPr>
              <w:t>72 (2.8%)</w:t>
            </w:r>
          </w:p>
        </w:tc>
      </w:tr>
      <w:tr w:rsidR="00022316" w14:paraId="06759385" w14:textId="77777777" w:rsidTr="00022316">
        <w:tc>
          <w:tcPr>
            <w:tcW w:w="0" w:type="auto"/>
            <w:tcBorders>
              <w:left w:val="single" w:sz="4" w:space="0" w:color="auto"/>
              <w:bottom w:val="single" w:sz="4" w:space="0" w:color="auto"/>
            </w:tcBorders>
          </w:tcPr>
          <w:p w14:paraId="4EE2E606" w14:textId="606A957E" w:rsidR="00022316" w:rsidRPr="00022316" w:rsidRDefault="00022316" w:rsidP="007422CB">
            <w:pPr>
              <w:pStyle w:val="Compact"/>
              <w:rPr>
                <w:sz w:val="20"/>
                <w:szCs w:val="20"/>
              </w:rPr>
            </w:pPr>
            <w:r>
              <w:rPr>
                <w:sz w:val="20"/>
                <w:szCs w:val="20"/>
              </w:rPr>
              <w:t xml:space="preserve">   </w:t>
            </w:r>
            <w:r w:rsidRPr="00022316">
              <w:rPr>
                <w:sz w:val="20"/>
                <w:szCs w:val="20"/>
              </w:rPr>
              <w:t>Non-Smoker</w:t>
            </w:r>
          </w:p>
        </w:tc>
        <w:tc>
          <w:tcPr>
            <w:tcW w:w="0" w:type="auto"/>
            <w:tcBorders>
              <w:bottom w:val="single" w:sz="4" w:space="0" w:color="auto"/>
              <w:right w:val="single" w:sz="4" w:space="0" w:color="auto"/>
            </w:tcBorders>
          </w:tcPr>
          <w:p w14:paraId="719F470C" w14:textId="77777777" w:rsidR="00022316" w:rsidRPr="00022316" w:rsidRDefault="00022316" w:rsidP="007422CB">
            <w:pPr>
              <w:pStyle w:val="Compact"/>
              <w:jc w:val="center"/>
              <w:rPr>
                <w:sz w:val="20"/>
                <w:szCs w:val="20"/>
              </w:rPr>
            </w:pPr>
            <w:r w:rsidRPr="00022316">
              <w:rPr>
                <w:sz w:val="20"/>
                <w:szCs w:val="20"/>
              </w:rPr>
              <w:t>2,506 (97%)</w:t>
            </w:r>
          </w:p>
        </w:tc>
      </w:tr>
      <w:tr w:rsidR="00022316" w14:paraId="3CBF305B" w14:textId="77777777" w:rsidTr="00022316">
        <w:tc>
          <w:tcPr>
            <w:tcW w:w="0" w:type="auto"/>
            <w:tcBorders>
              <w:top w:val="single" w:sz="4" w:space="0" w:color="auto"/>
              <w:left w:val="single" w:sz="4" w:space="0" w:color="auto"/>
            </w:tcBorders>
          </w:tcPr>
          <w:p w14:paraId="67A9080A" w14:textId="77777777" w:rsidR="00022316" w:rsidRPr="00022316" w:rsidRDefault="00022316" w:rsidP="007422CB">
            <w:pPr>
              <w:pStyle w:val="Compact"/>
              <w:rPr>
                <w:sz w:val="20"/>
                <w:szCs w:val="20"/>
              </w:rPr>
            </w:pPr>
            <w:r w:rsidRPr="00022316">
              <w:rPr>
                <w:sz w:val="20"/>
                <w:szCs w:val="20"/>
              </w:rPr>
              <w:t>Average PM Score in Zip Code of Residence</w:t>
            </w:r>
          </w:p>
        </w:tc>
        <w:tc>
          <w:tcPr>
            <w:tcW w:w="0" w:type="auto"/>
            <w:tcBorders>
              <w:top w:val="single" w:sz="4" w:space="0" w:color="auto"/>
              <w:right w:val="single" w:sz="4" w:space="0" w:color="auto"/>
            </w:tcBorders>
          </w:tcPr>
          <w:p w14:paraId="5AA666B6" w14:textId="77777777" w:rsidR="00022316" w:rsidRPr="00022316" w:rsidRDefault="00022316" w:rsidP="007422CB">
            <w:pPr>
              <w:pStyle w:val="Compact"/>
              <w:jc w:val="center"/>
              <w:rPr>
                <w:sz w:val="20"/>
                <w:szCs w:val="20"/>
              </w:rPr>
            </w:pPr>
            <w:r w:rsidRPr="00022316">
              <w:rPr>
                <w:sz w:val="20"/>
                <w:szCs w:val="20"/>
              </w:rPr>
              <w:t>8.89 (8.28, 9.66)</w:t>
            </w:r>
          </w:p>
        </w:tc>
      </w:tr>
      <w:tr w:rsidR="00022316" w14:paraId="28498FE0" w14:textId="77777777" w:rsidTr="00022316">
        <w:tc>
          <w:tcPr>
            <w:tcW w:w="0" w:type="auto"/>
            <w:tcBorders>
              <w:left w:val="single" w:sz="4" w:space="0" w:color="auto"/>
              <w:bottom w:val="single" w:sz="4" w:space="0" w:color="auto"/>
            </w:tcBorders>
          </w:tcPr>
          <w:p w14:paraId="0DAEDD8A" w14:textId="5FDFF10A" w:rsidR="00022316" w:rsidRPr="00022316" w:rsidRDefault="00022316" w:rsidP="007422CB">
            <w:pPr>
              <w:pStyle w:val="Compact"/>
              <w:rPr>
                <w:sz w:val="20"/>
                <w:szCs w:val="20"/>
              </w:rPr>
            </w:pPr>
            <w:r>
              <w:rPr>
                <w:sz w:val="20"/>
                <w:szCs w:val="20"/>
              </w:rPr>
              <w:t xml:space="preserve">   </w:t>
            </w:r>
            <w:r w:rsidRPr="00022316">
              <w:rPr>
                <w:sz w:val="20"/>
                <w:szCs w:val="20"/>
              </w:rPr>
              <w:t>Unknown</w:t>
            </w:r>
          </w:p>
        </w:tc>
        <w:tc>
          <w:tcPr>
            <w:tcW w:w="0" w:type="auto"/>
            <w:tcBorders>
              <w:bottom w:val="single" w:sz="4" w:space="0" w:color="auto"/>
              <w:right w:val="single" w:sz="4" w:space="0" w:color="auto"/>
            </w:tcBorders>
          </w:tcPr>
          <w:p w14:paraId="0875BFBE" w14:textId="77777777" w:rsidR="00022316" w:rsidRPr="00022316" w:rsidRDefault="00022316" w:rsidP="007422CB">
            <w:pPr>
              <w:pStyle w:val="Compact"/>
              <w:jc w:val="center"/>
              <w:rPr>
                <w:sz w:val="20"/>
                <w:szCs w:val="20"/>
              </w:rPr>
            </w:pPr>
            <w:r w:rsidRPr="00022316">
              <w:rPr>
                <w:sz w:val="20"/>
                <w:szCs w:val="20"/>
              </w:rPr>
              <w:t>947</w:t>
            </w:r>
          </w:p>
        </w:tc>
      </w:tr>
      <w:tr w:rsidR="00022316" w14:paraId="6EB69A1D" w14:textId="77777777" w:rsidTr="00022316">
        <w:tc>
          <w:tcPr>
            <w:tcW w:w="0" w:type="auto"/>
            <w:tcBorders>
              <w:top w:val="single" w:sz="4" w:space="0" w:color="auto"/>
              <w:left w:val="single" w:sz="4" w:space="0" w:color="auto"/>
            </w:tcBorders>
          </w:tcPr>
          <w:p w14:paraId="29215287" w14:textId="77777777" w:rsidR="00022316" w:rsidRPr="00022316" w:rsidRDefault="00022316" w:rsidP="007422CB">
            <w:pPr>
              <w:pStyle w:val="Compact"/>
              <w:rPr>
                <w:sz w:val="20"/>
                <w:szCs w:val="20"/>
              </w:rPr>
            </w:pPr>
            <w:r w:rsidRPr="00022316">
              <w:rPr>
                <w:sz w:val="20"/>
                <w:szCs w:val="20"/>
              </w:rPr>
              <w:t>NEVI in Zip Code of Residence</w:t>
            </w:r>
          </w:p>
        </w:tc>
        <w:tc>
          <w:tcPr>
            <w:tcW w:w="0" w:type="auto"/>
            <w:tcBorders>
              <w:top w:val="single" w:sz="4" w:space="0" w:color="auto"/>
              <w:right w:val="single" w:sz="4" w:space="0" w:color="auto"/>
            </w:tcBorders>
          </w:tcPr>
          <w:p w14:paraId="7E67C9D3" w14:textId="77777777" w:rsidR="00022316" w:rsidRPr="00022316" w:rsidRDefault="00022316" w:rsidP="007422CB">
            <w:pPr>
              <w:pStyle w:val="Compact"/>
              <w:jc w:val="center"/>
              <w:rPr>
                <w:sz w:val="20"/>
                <w:szCs w:val="20"/>
              </w:rPr>
            </w:pPr>
            <w:r w:rsidRPr="00022316">
              <w:rPr>
                <w:sz w:val="20"/>
                <w:szCs w:val="20"/>
              </w:rPr>
              <w:t>0.34 (0.30, 0.40)</w:t>
            </w:r>
          </w:p>
        </w:tc>
      </w:tr>
      <w:tr w:rsidR="00022316" w14:paraId="42CB165B" w14:textId="77777777" w:rsidTr="00022316">
        <w:tc>
          <w:tcPr>
            <w:tcW w:w="0" w:type="auto"/>
            <w:tcBorders>
              <w:left w:val="single" w:sz="4" w:space="0" w:color="auto"/>
              <w:bottom w:val="single" w:sz="4" w:space="0" w:color="auto"/>
            </w:tcBorders>
          </w:tcPr>
          <w:p w14:paraId="6E432B1D" w14:textId="1D071921" w:rsidR="00022316" w:rsidRPr="00022316" w:rsidRDefault="00022316" w:rsidP="007422CB">
            <w:pPr>
              <w:pStyle w:val="Compact"/>
              <w:rPr>
                <w:sz w:val="20"/>
                <w:szCs w:val="20"/>
              </w:rPr>
            </w:pPr>
            <w:r>
              <w:rPr>
                <w:sz w:val="20"/>
                <w:szCs w:val="20"/>
              </w:rPr>
              <w:t xml:space="preserve">   </w:t>
            </w:r>
            <w:r w:rsidRPr="00022316">
              <w:rPr>
                <w:sz w:val="20"/>
                <w:szCs w:val="20"/>
              </w:rPr>
              <w:t>Unknown</w:t>
            </w:r>
          </w:p>
        </w:tc>
        <w:tc>
          <w:tcPr>
            <w:tcW w:w="0" w:type="auto"/>
            <w:tcBorders>
              <w:bottom w:val="single" w:sz="4" w:space="0" w:color="auto"/>
              <w:right w:val="single" w:sz="4" w:space="0" w:color="auto"/>
            </w:tcBorders>
          </w:tcPr>
          <w:p w14:paraId="21D9FCFC" w14:textId="77777777" w:rsidR="00022316" w:rsidRPr="00022316" w:rsidRDefault="00022316" w:rsidP="007422CB">
            <w:pPr>
              <w:pStyle w:val="Compact"/>
              <w:jc w:val="center"/>
              <w:rPr>
                <w:sz w:val="20"/>
                <w:szCs w:val="20"/>
              </w:rPr>
            </w:pPr>
            <w:r w:rsidRPr="00022316">
              <w:rPr>
                <w:sz w:val="20"/>
                <w:szCs w:val="20"/>
              </w:rPr>
              <w:t>959</w:t>
            </w:r>
          </w:p>
        </w:tc>
      </w:tr>
      <w:tr w:rsidR="00022316" w14:paraId="575BCF08" w14:textId="77777777" w:rsidTr="00022316">
        <w:tc>
          <w:tcPr>
            <w:tcW w:w="0" w:type="auto"/>
            <w:tcBorders>
              <w:top w:val="single" w:sz="4" w:space="0" w:color="auto"/>
              <w:left w:val="single" w:sz="4" w:space="0" w:color="auto"/>
            </w:tcBorders>
          </w:tcPr>
          <w:p w14:paraId="04256D7D" w14:textId="77777777" w:rsidR="00022316" w:rsidRPr="00022316" w:rsidRDefault="00022316" w:rsidP="007422CB">
            <w:pPr>
              <w:pStyle w:val="Compact"/>
              <w:rPr>
                <w:sz w:val="20"/>
                <w:szCs w:val="20"/>
              </w:rPr>
            </w:pPr>
            <w:r w:rsidRPr="00022316">
              <w:rPr>
                <w:sz w:val="20"/>
                <w:szCs w:val="20"/>
              </w:rPr>
              <w:t>Quartiles of Average PM Score</w:t>
            </w:r>
          </w:p>
        </w:tc>
        <w:tc>
          <w:tcPr>
            <w:tcW w:w="0" w:type="auto"/>
            <w:tcBorders>
              <w:top w:val="single" w:sz="4" w:space="0" w:color="auto"/>
              <w:right w:val="single" w:sz="4" w:space="0" w:color="auto"/>
            </w:tcBorders>
          </w:tcPr>
          <w:p w14:paraId="2AE61261" w14:textId="77777777" w:rsidR="00022316" w:rsidRPr="00022316" w:rsidRDefault="00022316" w:rsidP="007422CB">
            <w:pPr>
              <w:pStyle w:val="Compact"/>
              <w:rPr>
                <w:sz w:val="20"/>
                <w:szCs w:val="20"/>
              </w:rPr>
            </w:pPr>
          </w:p>
        </w:tc>
      </w:tr>
      <w:tr w:rsidR="00022316" w14:paraId="0922DBAF" w14:textId="77777777" w:rsidTr="00022316">
        <w:tc>
          <w:tcPr>
            <w:tcW w:w="0" w:type="auto"/>
            <w:tcBorders>
              <w:left w:val="single" w:sz="4" w:space="0" w:color="auto"/>
            </w:tcBorders>
          </w:tcPr>
          <w:p w14:paraId="78223DCB" w14:textId="7CE5A56D" w:rsidR="00022316" w:rsidRPr="00022316" w:rsidRDefault="00022316" w:rsidP="007422CB">
            <w:pPr>
              <w:pStyle w:val="Compact"/>
              <w:rPr>
                <w:sz w:val="20"/>
                <w:szCs w:val="20"/>
              </w:rPr>
            </w:pPr>
            <w:r>
              <w:rPr>
                <w:sz w:val="20"/>
                <w:szCs w:val="20"/>
              </w:rPr>
              <w:t xml:space="preserve">   </w:t>
            </w:r>
            <w:r w:rsidRPr="00022316">
              <w:rPr>
                <w:sz w:val="20"/>
                <w:szCs w:val="20"/>
              </w:rPr>
              <w:t>1</w:t>
            </w:r>
          </w:p>
        </w:tc>
        <w:tc>
          <w:tcPr>
            <w:tcW w:w="0" w:type="auto"/>
            <w:tcBorders>
              <w:right w:val="single" w:sz="4" w:space="0" w:color="auto"/>
            </w:tcBorders>
          </w:tcPr>
          <w:p w14:paraId="54A9976C" w14:textId="77777777" w:rsidR="00022316" w:rsidRPr="00022316" w:rsidRDefault="00022316" w:rsidP="007422CB">
            <w:pPr>
              <w:pStyle w:val="Compact"/>
              <w:jc w:val="center"/>
              <w:rPr>
                <w:sz w:val="20"/>
                <w:szCs w:val="20"/>
              </w:rPr>
            </w:pPr>
            <w:r w:rsidRPr="00022316">
              <w:rPr>
                <w:sz w:val="20"/>
                <w:szCs w:val="20"/>
              </w:rPr>
              <w:t>482 (30%)</w:t>
            </w:r>
          </w:p>
        </w:tc>
      </w:tr>
      <w:tr w:rsidR="00022316" w14:paraId="34507143" w14:textId="77777777" w:rsidTr="00022316">
        <w:tc>
          <w:tcPr>
            <w:tcW w:w="0" w:type="auto"/>
            <w:tcBorders>
              <w:left w:val="single" w:sz="4" w:space="0" w:color="auto"/>
            </w:tcBorders>
          </w:tcPr>
          <w:p w14:paraId="19528D10" w14:textId="50BA5669" w:rsidR="00022316" w:rsidRPr="00022316" w:rsidRDefault="00022316" w:rsidP="007422CB">
            <w:pPr>
              <w:pStyle w:val="Compact"/>
              <w:rPr>
                <w:sz w:val="20"/>
                <w:szCs w:val="20"/>
              </w:rPr>
            </w:pPr>
            <w:r>
              <w:rPr>
                <w:sz w:val="20"/>
                <w:szCs w:val="20"/>
              </w:rPr>
              <w:t xml:space="preserve">   </w:t>
            </w:r>
            <w:r w:rsidRPr="00022316">
              <w:rPr>
                <w:sz w:val="20"/>
                <w:szCs w:val="20"/>
              </w:rPr>
              <w:t>2</w:t>
            </w:r>
          </w:p>
        </w:tc>
        <w:tc>
          <w:tcPr>
            <w:tcW w:w="0" w:type="auto"/>
            <w:tcBorders>
              <w:right w:val="single" w:sz="4" w:space="0" w:color="auto"/>
            </w:tcBorders>
          </w:tcPr>
          <w:p w14:paraId="0EFA530A" w14:textId="77777777" w:rsidR="00022316" w:rsidRPr="00022316" w:rsidRDefault="00022316" w:rsidP="007422CB">
            <w:pPr>
              <w:pStyle w:val="Compact"/>
              <w:jc w:val="center"/>
              <w:rPr>
                <w:sz w:val="20"/>
                <w:szCs w:val="20"/>
              </w:rPr>
            </w:pPr>
            <w:r w:rsidRPr="00022316">
              <w:rPr>
                <w:sz w:val="20"/>
                <w:szCs w:val="20"/>
              </w:rPr>
              <w:t>385 (24%)</w:t>
            </w:r>
          </w:p>
        </w:tc>
      </w:tr>
      <w:tr w:rsidR="00022316" w14:paraId="3255ACCE" w14:textId="77777777" w:rsidTr="00022316">
        <w:tc>
          <w:tcPr>
            <w:tcW w:w="0" w:type="auto"/>
            <w:tcBorders>
              <w:left w:val="single" w:sz="4" w:space="0" w:color="auto"/>
            </w:tcBorders>
          </w:tcPr>
          <w:p w14:paraId="0D15EDE3" w14:textId="291C2C96" w:rsidR="00022316" w:rsidRPr="00022316" w:rsidRDefault="00022316" w:rsidP="007422CB">
            <w:pPr>
              <w:pStyle w:val="Compact"/>
              <w:rPr>
                <w:sz w:val="20"/>
                <w:szCs w:val="20"/>
              </w:rPr>
            </w:pPr>
            <w:r>
              <w:rPr>
                <w:sz w:val="20"/>
                <w:szCs w:val="20"/>
              </w:rPr>
              <w:t xml:space="preserve">   </w:t>
            </w:r>
            <w:r w:rsidRPr="00022316">
              <w:rPr>
                <w:sz w:val="20"/>
                <w:szCs w:val="20"/>
              </w:rPr>
              <w:t>3</w:t>
            </w:r>
          </w:p>
        </w:tc>
        <w:tc>
          <w:tcPr>
            <w:tcW w:w="0" w:type="auto"/>
            <w:tcBorders>
              <w:right w:val="single" w:sz="4" w:space="0" w:color="auto"/>
            </w:tcBorders>
          </w:tcPr>
          <w:p w14:paraId="1D53C913" w14:textId="77777777" w:rsidR="00022316" w:rsidRPr="00022316" w:rsidRDefault="00022316" w:rsidP="007422CB">
            <w:pPr>
              <w:pStyle w:val="Compact"/>
              <w:jc w:val="center"/>
              <w:rPr>
                <w:sz w:val="20"/>
                <w:szCs w:val="20"/>
              </w:rPr>
            </w:pPr>
            <w:r w:rsidRPr="00022316">
              <w:rPr>
                <w:sz w:val="20"/>
                <w:szCs w:val="20"/>
              </w:rPr>
              <w:t>356 (22%)</w:t>
            </w:r>
          </w:p>
        </w:tc>
      </w:tr>
      <w:tr w:rsidR="00022316" w14:paraId="417A84B5" w14:textId="77777777" w:rsidTr="00022316">
        <w:tc>
          <w:tcPr>
            <w:tcW w:w="0" w:type="auto"/>
            <w:tcBorders>
              <w:left w:val="single" w:sz="4" w:space="0" w:color="auto"/>
            </w:tcBorders>
          </w:tcPr>
          <w:p w14:paraId="1BD31894" w14:textId="643261C8" w:rsidR="00022316" w:rsidRPr="00022316" w:rsidRDefault="00022316" w:rsidP="007422CB">
            <w:pPr>
              <w:pStyle w:val="Compact"/>
              <w:rPr>
                <w:sz w:val="20"/>
                <w:szCs w:val="20"/>
              </w:rPr>
            </w:pPr>
            <w:r>
              <w:rPr>
                <w:sz w:val="20"/>
                <w:szCs w:val="20"/>
              </w:rPr>
              <w:t xml:space="preserve">   </w:t>
            </w:r>
            <w:r w:rsidRPr="00022316">
              <w:rPr>
                <w:sz w:val="20"/>
                <w:szCs w:val="20"/>
              </w:rPr>
              <w:t>4</w:t>
            </w:r>
          </w:p>
        </w:tc>
        <w:tc>
          <w:tcPr>
            <w:tcW w:w="0" w:type="auto"/>
            <w:tcBorders>
              <w:right w:val="single" w:sz="4" w:space="0" w:color="auto"/>
            </w:tcBorders>
          </w:tcPr>
          <w:p w14:paraId="0C62B305" w14:textId="77777777" w:rsidR="00022316" w:rsidRPr="00022316" w:rsidRDefault="00022316" w:rsidP="007422CB">
            <w:pPr>
              <w:pStyle w:val="Compact"/>
              <w:jc w:val="center"/>
              <w:rPr>
                <w:sz w:val="20"/>
                <w:szCs w:val="20"/>
              </w:rPr>
            </w:pPr>
            <w:r w:rsidRPr="00022316">
              <w:rPr>
                <w:sz w:val="20"/>
                <w:szCs w:val="20"/>
              </w:rPr>
              <w:t>408 (25%)</w:t>
            </w:r>
          </w:p>
        </w:tc>
      </w:tr>
      <w:tr w:rsidR="00022316" w14:paraId="675CC33F" w14:textId="77777777" w:rsidTr="00022316">
        <w:tc>
          <w:tcPr>
            <w:tcW w:w="0" w:type="auto"/>
            <w:tcBorders>
              <w:left w:val="single" w:sz="4" w:space="0" w:color="auto"/>
              <w:bottom w:val="single" w:sz="4" w:space="0" w:color="auto"/>
            </w:tcBorders>
          </w:tcPr>
          <w:p w14:paraId="1441EEF2" w14:textId="65B02B8F" w:rsidR="00022316" w:rsidRPr="00022316" w:rsidRDefault="00022316" w:rsidP="007422CB">
            <w:pPr>
              <w:pStyle w:val="Compact"/>
              <w:rPr>
                <w:sz w:val="20"/>
                <w:szCs w:val="20"/>
              </w:rPr>
            </w:pPr>
            <w:r>
              <w:rPr>
                <w:sz w:val="20"/>
                <w:szCs w:val="20"/>
              </w:rPr>
              <w:t xml:space="preserve">   </w:t>
            </w:r>
            <w:r w:rsidRPr="00022316">
              <w:rPr>
                <w:sz w:val="20"/>
                <w:szCs w:val="20"/>
              </w:rPr>
              <w:t>Unknown</w:t>
            </w:r>
          </w:p>
        </w:tc>
        <w:tc>
          <w:tcPr>
            <w:tcW w:w="0" w:type="auto"/>
            <w:tcBorders>
              <w:bottom w:val="single" w:sz="4" w:space="0" w:color="auto"/>
              <w:right w:val="single" w:sz="4" w:space="0" w:color="auto"/>
            </w:tcBorders>
          </w:tcPr>
          <w:p w14:paraId="40786F90" w14:textId="77777777" w:rsidR="00022316" w:rsidRPr="00022316" w:rsidRDefault="00022316" w:rsidP="007422CB">
            <w:pPr>
              <w:pStyle w:val="Compact"/>
              <w:jc w:val="center"/>
              <w:rPr>
                <w:sz w:val="20"/>
                <w:szCs w:val="20"/>
              </w:rPr>
            </w:pPr>
            <w:r w:rsidRPr="00022316">
              <w:rPr>
                <w:sz w:val="20"/>
                <w:szCs w:val="20"/>
              </w:rPr>
              <w:t>947</w:t>
            </w:r>
          </w:p>
        </w:tc>
      </w:tr>
      <w:tr w:rsidR="002A4DC2" w14:paraId="23DF526C" w14:textId="77777777" w:rsidTr="002A4DC2">
        <w:tblPrEx>
          <w:tblLook w:val="04A0" w:firstRow="1" w:lastRow="0" w:firstColumn="1" w:lastColumn="0" w:noHBand="0" w:noVBand="1"/>
        </w:tblPrEx>
        <w:tc>
          <w:tcPr>
            <w:tcW w:w="0" w:type="auto"/>
          </w:tcPr>
          <w:p w14:paraId="7A098B79" w14:textId="77777777" w:rsidR="002A4DC2" w:rsidRPr="00887060" w:rsidRDefault="002A4DC2" w:rsidP="007422CB">
            <w:pPr>
              <w:pStyle w:val="Compact"/>
              <w:rPr>
                <w:sz w:val="20"/>
                <w:szCs w:val="20"/>
              </w:rPr>
            </w:pPr>
            <w:r w:rsidRPr="002A4DC2">
              <w:rPr>
                <w:sz w:val="18"/>
                <w:szCs w:val="18"/>
                <w:vertAlign w:val="superscript"/>
              </w:rPr>
              <w:t>1</w:t>
            </w:r>
            <w:r w:rsidRPr="002A4DC2">
              <w:rPr>
                <w:sz w:val="18"/>
                <w:szCs w:val="18"/>
              </w:rPr>
              <w:t>Median (IQR) or Frequency (%)</w:t>
            </w:r>
          </w:p>
        </w:tc>
        <w:tc>
          <w:tcPr>
            <w:tcW w:w="0" w:type="auto"/>
          </w:tcPr>
          <w:p w14:paraId="5B388F53" w14:textId="77777777" w:rsidR="002A4DC2" w:rsidRPr="00887060" w:rsidRDefault="002A4DC2" w:rsidP="007422CB">
            <w:pPr>
              <w:pStyle w:val="Compact"/>
              <w:jc w:val="center"/>
              <w:rPr>
                <w:sz w:val="20"/>
                <w:szCs w:val="20"/>
              </w:rPr>
            </w:pPr>
          </w:p>
        </w:tc>
      </w:tr>
    </w:tbl>
    <w:p w14:paraId="40200A45" w14:textId="77777777" w:rsidR="00C55044" w:rsidRDefault="00C55044" w:rsidP="002558A4">
      <w:pPr>
        <w:rPr>
          <w:rFonts w:ascii="Times New Roman" w:hAnsi="Times New Roman" w:cs="Times New Roman"/>
          <w:sz w:val="24"/>
          <w:szCs w:val="24"/>
        </w:rPr>
      </w:pPr>
    </w:p>
    <w:p w14:paraId="0678284A" w14:textId="77777777" w:rsidR="003B12DF" w:rsidRDefault="003B12DF" w:rsidP="003B12DF">
      <w:pPr>
        <w:pStyle w:val="TableCaption"/>
      </w:pPr>
      <w:r>
        <w:rPr>
          <w:b/>
          <w:bCs/>
        </w:rPr>
        <w:t>Table 1c. Patient Characteristics during phase 3</w:t>
      </w:r>
    </w:p>
    <w:tbl>
      <w:tblPr>
        <w:tblStyle w:val="Table"/>
        <w:tblW w:w="0" w:type="auto"/>
        <w:tblLook w:val="0020" w:firstRow="1" w:lastRow="0" w:firstColumn="0" w:lastColumn="0" w:noHBand="0" w:noVBand="0"/>
        <w:tblCaption w:val="Table 1c. Patient Characteristics during phase 3"/>
      </w:tblPr>
      <w:tblGrid>
        <w:gridCol w:w="3728"/>
        <w:gridCol w:w="1542"/>
      </w:tblGrid>
      <w:tr w:rsidR="003B12DF" w14:paraId="2AF97809" w14:textId="77777777" w:rsidTr="00692FC5">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2" w:space="0" w:color="auto"/>
            </w:tcBorders>
          </w:tcPr>
          <w:p w14:paraId="4AAE5894" w14:textId="1A3B002D" w:rsidR="003B12DF" w:rsidRPr="003B12DF" w:rsidRDefault="003B12DF" w:rsidP="007422CB">
            <w:pPr>
              <w:pStyle w:val="Compact"/>
              <w:rPr>
                <w:sz w:val="21"/>
                <w:szCs w:val="21"/>
              </w:rPr>
            </w:pPr>
            <w:r>
              <w:rPr>
                <w:b/>
                <w:bCs/>
                <w:sz w:val="21"/>
                <w:szCs w:val="21"/>
              </w:rPr>
              <w:t>Characteristic</w:t>
            </w:r>
          </w:p>
        </w:tc>
        <w:tc>
          <w:tcPr>
            <w:tcW w:w="0" w:type="auto"/>
            <w:tcBorders>
              <w:top w:val="single" w:sz="4" w:space="0" w:color="auto"/>
              <w:bottom w:val="single" w:sz="2" w:space="0" w:color="auto"/>
              <w:right w:val="single" w:sz="4" w:space="0" w:color="auto"/>
            </w:tcBorders>
          </w:tcPr>
          <w:p w14:paraId="1D88FA5D" w14:textId="3E2E60A8" w:rsidR="003B12DF" w:rsidRPr="002A4DC2" w:rsidRDefault="003B12DF" w:rsidP="007422CB">
            <w:pPr>
              <w:pStyle w:val="Compact"/>
              <w:jc w:val="center"/>
              <w:rPr>
                <w:sz w:val="21"/>
                <w:szCs w:val="21"/>
                <w:vertAlign w:val="superscript"/>
              </w:rPr>
            </w:pPr>
            <w:r w:rsidRPr="003B12DF">
              <w:rPr>
                <w:b/>
                <w:bCs/>
                <w:sz w:val="21"/>
                <w:szCs w:val="21"/>
              </w:rPr>
              <w:t>N = 2,612</w:t>
            </w:r>
            <w:r w:rsidR="002A4DC2">
              <w:rPr>
                <w:sz w:val="21"/>
                <w:szCs w:val="21"/>
                <w:vertAlign w:val="superscript"/>
              </w:rPr>
              <w:t>1</w:t>
            </w:r>
          </w:p>
        </w:tc>
      </w:tr>
      <w:tr w:rsidR="003B12DF" w14:paraId="54E97569" w14:textId="77777777" w:rsidTr="00692FC5">
        <w:tc>
          <w:tcPr>
            <w:tcW w:w="0" w:type="auto"/>
            <w:tcBorders>
              <w:top w:val="single" w:sz="2" w:space="0" w:color="auto"/>
              <w:left w:val="single" w:sz="4" w:space="0" w:color="auto"/>
              <w:bottom w:val="single" w:sz="4" w:space="0" w:color="auto"/>
            </w:tcBorders>
          </w:tcPr>
          <w:p w14:paraId="3F7EB83A" w14:textId="77777777" w:rsidR="003B12DF" w:rsidRPr="003B12DF" w:rsidRDefault="003B12DF" w:rsidP="007422CB">
            <w:pPr>
              <w:pStyle w:val="Compact"/>
              <w:rPr>
                <w:sz w:val="20"/>
                <w:szCs w:val="20"/>
              </w:rPr>
            </w:pPr>
            <w:r w:rsidRPr="003B12DF">
              <w:rPr>
                <w:sz w:val="20"/>
                <w:szCs w:val="20"/>
              </w:rPr>
              <w:t>Age</w:t>
            </w:r>
          </w:p>
        </w:tc>
        <w:tc>
          <w:tcPr>
            <w:tcW w:w="0" w:type="auto"/>
            <w:tcBorders>
              <w:top w:val="single" w:sz="2" w:space="0" w:color="auto"/>
              <w:bottom w:val="single" w:sz="4" w:space="0" w:color="auto"/>
              <w:right w:val="single" w:sz="4" w:space="0" w:color="auto"/>
            </w:tcBorders>
          </w:tcPr>
          <w:p w14:paraId="7B6E636E" w14:textId="77777777" w:rsidR="003B12DF" w:rsidRPr="003B12DF" w:rsidRDefault="003B12DF" w:rsidP="007422CB">
            <w:pPr>
              <w:pStyle w:val="Compact"/>
              <w:jc w:val="center"/>
              <w:rPr>
                <w:sz w:val="20"/>
                <w:szCs w:val="20"/>
              </w:rPr>
            </w:pPr>
            <w:r w:rsidRPr="003B12DF">
              <w:rPr>
                <w:sz w:val="20"/>
                <w:szCs w:val="20"/>
              </w:rPr>
              <w:t>32 (28, 35)</w:t>
            </w:r>
          </w:p>
        </w:tc>
      </w:tr>
      <w:tr w:rsidR="003B12DF" w14:paraId="158B1B66" w14:textId="77777777" w:rsidTr="00692FC5">
        <w:tc>
          <w:tcPr>
            <w:tcW w:w="0" w:type="auto"/>
            <w:tcBorders>
              <w:top w:val="single" w:sz="4" w:space="0" w:color="auto"/>
              <w:left w:val="single" w:sz="4" w:space="0" w:color="auto"/>
            </w:tcBorders>
          </w:tcPr>
          <w:p w14:paraId="1B4A2021" w14:textId="77777777" w:rsidR="003B12DF" w:rsidRPr="003B12DF" w:rsidRDefault="003B12DF" w:rsidP="007422CB">
            <w:pPr>
              <w:pStyle w:val="Compact"/>
              <w:rPr>
                <w:sz w:val="20"/>
                <w:szCs w:val="20"/>
              </w:rPr>
            </w:pPr>
            <w:r w:rsidRPr="003B12DF">
              <w:rPr>
                <w:sz w:val="20"/>
                <w:szCs w:val="20"/>
              </w:rPr>
              <w:t>Ethnicity</w:t>
            </w:r>
          </w:p>
        </w:tc>
        <w:tc>
          <w:tcPr>
            <w:tcW w:w="0" w:type="auto"/>
            <w:tcBorders>
              <w:top w:val="single" w:sz="4" w:space="0" w:color="auto"/>
              <w:right w:val="single" w:sz="4" w:space="0" w:color="auto"/>
            </w:tcBorders>
          </w:tcPr>
          <w:p w14:paraId="05BF4372" w14:textId="77777777" w:rsidR="003B12DF" w:rsidRPr="003B12DF" w:rsidRDefault="003B12DF" w:rsidP="007422CB">
            <w:pPr>
              <w:pStyle w:val="Compact"/>
              <w:rPr>
                <w:sz w:val="20"/>
                <w:szCs w:val="20"/>
              </w:rPr>
            </w:pPr>
          </w:p>
        </w:tc>
      </w:tr>
      <w:tr w:rsidR="003B12DF" w14:paraId="25D82EE4" w14:textId="77777777" w:rsidTr="00692FC5">
        <w:tc>
          <w:tcPr>
            <w:tcW w:w="0" w:type="auto"/>
            <w:tcBorders>
              <w:left w:val="single" w:sz="4" w:space="0" w:color="auto"/>
            </w:tcBorders>
          </w:tcPr>
          <w:p w14:paraId="14A6C743" w14:textId="18A647F9" w:rsidR="003B12DF" w:rsidRPr="003B12DF" w:rsidRDefault="00692FC5" w:rsidP="007422CB">
            <w:pPr>
              <w:pStyle w:val="Compact"/>
              <w:rPr>
                <w:sz w:val="20"/>
                <w:szCs w:val="20"/>
              </w:rPr>
            </w:pPr>
            <w:r>
              <w:rPr>
                <w:sz w:val="20"/>
                <w:szCs w:val="20"/>
              </w:rPr>
              <w:t xml:space="preserve">   </w:t>
            </w:r>
            <w:r w:rsidR="003B12DF" w:rsidRPr="003B12DF">
              <w:rPr>
                <w:sz w:val="20"/>
                <w:szCs w:val="20"/>
              </w:rPr>
              <w:t>Latina/Hispanic</w:t>
            </w:r>
          </w:p>
        </w:tc>
        <w:tc>
          <w:tcPr>
            <w:tcW w:w="0" w:type="auto"/>
            <w:tcBorders>
              <w:right w:val="single" w:sz="4" w:space="0" w:color="auto"/>
            </w:tcBorders>
          </w:tcPr>
          <w:p w14:paraId="5D371973" w14:textId="77777777" w:rsidR="003B12DF" w:rsidRPr="003B12DF" w:rsidRDefault="003B12DF" w:rsidP="007422CB">
            <w:pPr>
              <w:pStyle w:val="Compact"/>
              <w:jc w:val="center"/>
              <w:rPr>
                <w:sz w:val="20"/>
                <w:szCs w:val="20"/>
              </w:rPr>
            </w:pPr>
            <w:r w:rsidRPr="003B12DF">
              <w:rPr>
                <w:sz w:val="20"/>
                <w:szCs w:val="20"/>
              </w:rPr>
              <w:t>612 (23%)</w:t>
            </w:r>
          </w:p>
        </w:tc>
      </w:tr>
      <w:tr w:rsidR="003B12DF" w14:paraId="38E95C65" w14:textId="77777777" w:rsidTr="00692FC5">
        <w:tc>
          <w:tcPr>
            <w:tcW w:w="0" w:type="auto"/>
            <w:tcBorders>
              <w:left w:val="single" w:sz="4" w:space="0" w:color="auto"/>
              <w:bottom w:val="single" w:sz="4" w:space="0" w:color="auto"/>
            </w:tcBorders>
          </w:tcPr>
          <w:p w14:paraId="718B99B2" w14:textId="010CBF4A" w:rsidR="003B12DF" w:rsidRPr="003B12DF" w:rsidRDefault="00692FC5" w:rsidP="007422CB">
            <w:pPr>
              <w:pStyle w:val="Compact"/>
              <w:rPr>
                <w:sz w:val="20"/>
                <w:szCs w:val="20"/>
              </w:rPr>
            </w:pPr>
            <w:r>
              <w:rPr>
                <w:sz w:val="20"/>
                <w:szCs w:val="20"/>
              </w:rPr>
              <w:t xml:space="preserve">   </w:t>
            </w:r>
            <w:r w:rsidR="003B12DF" w:rsidRPr="003B12DF">
              <w:rPr>
                <w:sz w:val="20"/>
                <w:szCs w:val="20"/>
              </w:rPr>
              <w:t>Non-Latina/Non-Hispanic</w:t>
            </w:r>
          </w:p>
        </w:tc>
        <w:tc>
          <w:tcPr>
            <w:tcW w:w="0" w:type="auto"/>
            <w:tcBorders>
              <w:bottom w:val="single" w:sz="4" w:space="0" w:color="auto"/>
              <w:right w:val="single" w:sz="4" w:space="0" w:color="auto"/>
            </w:tcBorders>
          </w:tcPr>
          <w:p w14:paraId="13943CB3" w14:textId="77777777" w:rsidR="003B12DF" w:rsidRPr="003B12DF" w:rsidRDefault="003B12DF" w:rsidP="007422CB">
            <w:pPr>
              <w:pStyle w:val="Compact"/>
              <w:jc w:val="center"/>
              <w:rPr>
                <w:sz w:val="20"/>
                <w:szCs w:val="20"/>
              </w:rPr>
            </w:pPr>
            <w:r w:rsidRPr="003B12DF">
              <w:rPr>
                <w:sz w:val="20"/>
                <w:szCs w:val="20"/>
              </w:rPr>
              <w:t>2,000 (77%)</w:t>
            </w:r>
          </w:p>
        </w:tc>
      </w:tr>
      <w:tr w:rsidR="003B12DF" w14:paraId="7ADCFAF5" w14:textId="77777777" w:rsidTr="00692FC5">
        <w:tc>
          <w:tcPr>
            <w:tcW w:w="0" w:type="auto"/>
            <w:tcBorders>
              <w:top w:val="single" w:sz="4" w:space="0" w:color="auto"/>
              <w:left w:val="single" w:sz="4" w:space="0" w:color="auto"/>
            </w:tcBorders>
          </w:tcPr>
          <w:p w14:paraId="6B8A5F76" w14:textId="77777777" w:rsidR="003B12DF" w:rsidRPr="003B12DF" w:rsidRDefault="003B12DF" w:rsidP="007422CB">
            <w:pPr>
              <w:pStyle w:val="Compact"/>
              <w:rPr>
                <w:sz w:val="20"/>
                <w:szCs w:val="20"/>
              </w:rPr>
            </w:pPr>
            <w:r w:rsidRPr="003B12DF">
              <w:rPr>
                <w:sz w:val="20"/>
                <w:szCs w:val="20"/>
              </w:rPr>
              <w:t>Race</w:t>
            </w:r>
          </w:p>
        </w:tc>
        <w:tc>
          <w:tcPr>
            <w:tcW w:w="0" w:type="auto"/>
            <w:tcBorders>
              <w:top w:val="single" w:sz="4" w:space="0" w:color="auto"/>
              <w:right w:val="single" w:sz="4" w:space="0" w:color="auto"/>
            </w:tcBorders>
          </w:tcPr>
          <w:p w14:paraId="367D2ABA" w14:textId="77777777" w:rsidR="003B12DF" w:rsidRPr="003B12DF" w:rsidRDefault="003B12DF" w:rsidP="007422CB">
            <w:pPr>
              <w:pStyle w:val="Compact"/>
              <w:rPr>
                <w:sz w:val="20"/>
                <w:szCs w:val="20"/>
              </w:rPr>
            </w:pPr>
          </w:p>
        </w:tc>
      </w:tr>
      <w:tr w:rsidR="003B12DF" w14:paraId="70A94B6F" w14:textId="77777777" w:rsidTr="00692FC5">
        <w:tc>
          <w:tcPr>
            <w:tcW w:w="0" w:type="auto"/>
            <w:tcBorders>
              <w:left w:val="single" w:sz="4" w:space="0" w:color="auto"/>
            </w:tcBorders>
          </w:tcPr>
          <w:p w14:paraId="0A947D99" w14:textId="59D521B1" w:rsidR="003B12DF" w:rsidRPr="003B12DF" w:rsidRDefault="00692FC5" w:rsidP="007422CB">
            <w:pPr>
              <w:pStyle w:val="Compact"/>
              <w:rPr>
                <w:sz w:val="20"/>
                <w:szCs w:val="20"/>
              </w:rPr>
            </w:pPr>
            <w:r>
              <w:rPr>
                <w:sz w:val="20"/>
                <w:szCs w:val="20"/>
              </w:rPr>
              <w:t xml:space="preserve">   Unknown</w:t>
            </w:r>
          </w:p>
        </w:tc>
        <w:tc>
          <w:tcPr>
            <w:tcW w:w="0" w:type="auto"/>
            <w:tcBorders>
              <w:right w:val="single" w:sz="4" w:space="0" w:color="auto"/>
            </w:tcBorders>
          </w:tcPr>
          <w:p w14:paraId="7DA2FBF8" w14:textId="77777777" w:rsidR="003B12DF" w:rsidRPr="003B12DF" w:rsidRDefault="003B12DF" w:rsidP="007422CB">
            <w:pPr>
              <w:pStyle w:val="Compact"/>
              <w:jc w:val="center"/>
              <w:rPr>
                <w:sz w:val="20"/>
                <w:szCs w:val="20"/>
              </w:rPr>
            </w:pPr>
            <w:r w:rsidRPr="003B12DF">
              <w:rPr>
                <w:sz w:val="20"/>
                <w:szCs w:val="20"/>
              </w:rPr>
              <w:t>44 (1.7%)</w:t>
            </w:r>
          </w:p>
        </w:tc>
      </w:tr>
      <w:tr w:rsidR="003B12DF" w14:paraId="7B4D1839" w14:textId="77777777" w:rsidTr="00692FC5">
        <w:tc>
          <w:tcPr>
            <w:tcW w:w="0" w:type="auto"/>
            <w:tcBorders>
              <w:left w:val="single" w:sz="4" w:space="0" w:color="auto"/>
            </w:tcBorders>
          </w:tcPr>
          <w:p w14:paraId="29BFC25C" w14:textId="4148DCD4" w:rsidR="003B12DF" w:rsidRPr="003B12DF" w:rsidRDefault="00692FC5" w:rsidP="007422CB">
            <w:pPr>
              <w:pStyle w:val="Compact"/>
              <w:rPr>
                <w:sz w:val="20"/>
                <w:szCs w:val="20"/>
              </w:rPr>
            </w:pPr>
            <w:r>
              <w:rPr>
                <w:sz w:val="20"/>
                <w:szCs w:val="20"/>
              </w:rPr>
              <w:t xml:space="preserve">   </w:t>
            </w:r>
            <w:r w:rsidR="003B12DF" w:rsidRPr="003B12DF">
              <w:rPr>
                <w:sz w:val="20"/>
                <w:szCs w:val="20"/>
              </w:rPr>
              <w:t>American</w:t>
            </w:r>
            <w:r>
              <w:rPr>
                <w:sz w:val="20"/>
                <w:szCs w:val="20"/>
              </w:rPr>
              <w:t xml:space="preserve"> </w:t>
            </w:r>
            <w:r w:rsidR="003B12DF" w:rsidRPr="003B12DF">
              <w:rPr>
                <w:sz w:val="20"/>
                <w:szCs w:val="20"/>
              </w:rPr>
              <w:t>Indian</w:t>
            </w:r>
            <w:r>
              <w:rPr>
                <w:sz w:val="20"/>
                <w:szCs w:val="20"/>
              </w:rPr>
              <w:t xml:space="preserve"> or </w:t>
            </w:r>
            <w:r w:rsidR="003B12DF" w:rsidRPr="003B12DF">
              <w:rPr>
                <w:sz w:val="20"/>
                <w:szCs w:val="20"/>
              </w:rPr>
              <w:t>Alaska</w:t>
            </w:r>
            <w:r>
              <w:rPr>
                <w:sz w:val="20"/>
                <w:szCs w:val="20"/>
              </w:rPr>
              <w:t xml:space="preserve"> </w:t>
            </w:r>
            <w:r w:rsidR="003B12DF" w:rsidRPr="003B12DF">
              <w:rPr>
                <w:sz w:val="20"/>
                <w:szCs w:val="20"/>
              </w:rPr>
              <w:t>Native</w:t>
            </w:r>
          </w:p>
        </w:tc>
        <w:tc>
          <w:tcPr>
            <w:tcW w:w="0" w:type="auto"/>
            <w:tcBorders>
              <w:right w:val="single" w:sz="4" w:space="0" w:color="auto"/>
            </w:tcBorders>
          </w:tcPr>
          <w:p w14:paraId="3C8FFF97" w14:textId="77777777" w:rsidR="003B12DF" w:rsidRPr="003B12DF" w:rsidRDefault="003B12DF" w:rsidP="007422CB">
            <w:pPr>
              <w:pStyle w:val="Compact"/>
              <w:jc w:val="center"/>
              <w:rPr>
                <w:sz w:val="20"/>
                <w:szCs w:val="20"/>
              </w:rPr>
            </w:pPr>
            <w:r w:rsidRPr="003B12DF">
              <w:rPr>
                <w:sz w:val="20"/>
                <w:szCs w:val="20"/>
              </w:rPr>
              <w:t>6 (0.2%)</w:t>
            </w:r>
          </w:p>
        </w:tc>
      </w:tr>
      <w:tr w:rsidR="003B12DF" w14:paraId="5ED7E125" w14:textId="77777777" w:rsidTr="00692FC5">
        <w:tc>
          <w:tcPr>
            <w:tcW w:w="0" w:type="auto"/>
            <w:tcBorders>
              <w:left w:val="single" w:sz="4" w:space="0" w:color="auto"/>
            </w:tcBorders>
          </w:tcPr>
          <w:p w14:paraId="57A730C7" w14:textId="11BFE14D" w:rsidR="003B12DF" w:rsidRPr="003B12DF" w:rsidRDefault="00692FC5" w:rsidP="007422CB">
            <w:pPr>
              <w:pStyle w:val="Compact"/>
              <w:rPr>
                <w:sz w:val="20"/>
                <w:szCs w:val="20"/>
              </w:rPr>
            </w:pPr>
            <w:r>
              <w:rPr>
                <w:sz w:val="20"/>
                <w:szCs w:val="20"/>
              </w:rPr>
              <w:t xml:space="preserve">   </w:t>
            </w:r>
            <w:r w:rsidR="003B12DF" w:rsidRPr="003B12DF">
              <w:rPr>
                <w:sz w:val="20"/>
                <w:szCs w:val="20"/>
              </w:rPr>
              <w:t>Asian</w:t>
            </w:r>
          </w:p>
        </w:tc>
        <w:tc>
          <w:tcPr>
            <w:tcW w:w="0" w:type="auto"/>
            <w:tcBorders>
              <w:right w:val="single" w:sz="4" w:space="0" w:color="auto"/>
            </w:tcBorders>
          </w:tcPr>
          <w:p w14:paraId="440715B0" w14:textId="77777777" w:rsidR="003B12DF" w:rsidRPr="003B12DF" w:rsidRDefault="003B12DF" w:rsidP="007422CB">
            <w:pPr>
              <w:pStyle w:val="Compact"/>
              <w:jc w:val="center"/>
              <w:rPr>
                <w:sz w:val="20"/>
                <w:szCs w:val="20"/>
              </w:rPr>
            </w:pPr>
            <w:r w:rsidRPr="003B12DF">
              <w:rPr>
                <w:sz w:val="20"/>
                <w:szCs w:val="20"/>
              </w:rPr>
              <w:t>269 (10%)</w:t>
            </w:r>
          </w:p>
        </w:tc>
      </w:tr>
      <w:tr w:rsidR="003B12DF" w14:paraId="11AB9ABA" w14:textId="77777777" w:rsidTr="00692FC5">
        <w:tc>
          <w:tcPr>
            <w:tcW w:w="0" w:type="auto"/>
            <w:tcBorders>
              <w:left w:val="single" w:sz="4" w:space="0" w:color="auto"/>
            </w:tcBorders>
          </w:tcPr>
          <w:p w14:paraId="1AE52AFA" w14:textId="57F8708D" w:rsidR="003B12DF" w:rsidRPr="003B12DF" w:rsidRDefault="00692FC5" w:rsidP="007422CB">
            <w:pPr>
              <w:pStyle w:val="Compact"/>
              <w:rPr>
                <w:sz w:val="20"/>
                <w:szCs w:val="20"/>
              </w:rPr>
            </w:pPr>
            <w:r>
              <w:rPr>
                <w:sz w:val="20"/>
                <w:szCs w:val="20"/>
              </w:rPr>
              <w:t xml:space="preserve">   </w:t>
            </w:r>
            <w:r w:rsidR="003B12DF" w:rsidRPr="003B12DF">
              <w:rPr>
                <w:sz w:val="20"/>
                <w:szCs w:val="20"/>
              </w:rPr>
              <w:t>Black</w:t>
            </w:r>
          </w:p>
        </w:tc>
        <w:tc>
          <w:tcPr>
            <w:tcW w:w="0" w:type="auto"/>
            <w:tcBorders>
              <w:right w:val="single" w:sz="4" w:space="0" w:color="auto"/>
            </w:tcBorders>
          </w:tcPr>
          <w:p w14:paraId="64AE66D3" w14:textId="77777777" w:rsidR="003B12DF" w:rsidRPr="003B12DF" w:rsidRDefault="003B12DF" w:rsidP="007422CB">
            <w:pPr>
              <w:pStyle w:val="Compact"/>
              <w:jc w:val="center"/>
              <w:rPr>
                <w:sz w:val="20"/>
                <w:szCs w:val="20"/>
              </w:rPr>
            </w:pPr>
            <w:r w:rsidRPr="003B12DF">
              <w:rPr>
                <w:sz w:val="20"/>
                <w:szCs w:val="20"/>
              </w:rPr>
              <w:t>290 (11%)</w:t>
            </w:r>
          </w:p>
        </w:tc>
      </w:tr>
      <w:tr w:rsidR="003B12DF" w14:paraId="6BEFE2E1" w14:textId="77777777" w:rsidTr="00692FC5">
        <w:tc>
          <w:tcPr>
            <w:tcW w:w="0" w:type="auto"/>
            <w:tcBorders>
              <w:left w:val="single" w:sz="4" w:space="0" w:color="auto"/>
            </w:tcBorders>
          </w:tcPr>
          <w:p w14:paraId="7F5B7E86" w14:textId="54ECB956" w:rsidR="003B12DF" w:rsidRPr="003B12DF" w:rsidRDefault="00692FC5" w:rsidP="007422CB">
            <w:pPr>
              <w:pStyle w:val="Compact"/>
              <w:rPr>
                <w:sz w:val="20"/>
                <w:szCs w:val="20"/>
              </w:rPr>
            </w:pPr>
            <w:r>
              <w:rPr>
                <w:sz w:val="20"/>
                <w:szCs w:val="20"/>
              </w:rPr>
              <w:t xml:space="preserve">   </w:t>
            </w:r>
            <w:r w:rsidR="003B12DF" w:rsidRPr="003B12DF">
              <w:rPr>
                <w:sz w:val="20"/>
                <w:szCs w:val="20"/>
              </w:rPr>
              <w:t>Declined</w:t>
            </w:r>
          </w:p>
        </w:tc>
        <w:tc>
          <w:tcPr>
            <w:tcW w:w="0" w:type="auto"/>
            <w:tcBorders>
              <w:right w:val="single" w:sz="4" w:space="0" w:color="auto"/>
            </w:tcBorders>
          </w:tcPr>
          <w:p w14:paraId="7411DA48" w14:textId="77777777" w:rsidR="003B12DF" w:rsidRPr="003B12DF" w:rsidRDefault="003B12DF" w:rsidP="007422CB">
            <w:pPr>
              <w:pStyle w:val="Compact"/>
              <w:jc w:val="center"/>
              <w:rPr>
                <w:sz w:val="20"/>
                <w:szCs w:val="20"/>
              </w:rPr>
            </w:pPr>
            <w:r w:rsidRPr="003B12DF">
              <w:rPr>
                <w:sz w:val="20"/>
                <w:szCs w:val="20"/>
              </w:rPr>
              <w:t>106 (4.1%)</w:t>
            </w:r>
          </w:p>
        </w:tc>
      </w:tr>
      <w:tr w:rsidR="003B12DF" w14:paraId="4BC7CE4B" w14:textId="77777777" w:rsidTr="00692FC5">
        <w:tc>
          <w:tcPr>
            <w:tcW w:w="0" w:type="auto"/>
            <w:tcBorders>
              <w:left w:val="single" w:sz="4" w:space="0" w:color="auto"/>
            </w:tcBorders>
          </w:tcPr>
          <w:p w14:paraId="6CDFD323" w14:textId="6CFD44E2" w:rsidR="003B12DF" w:rsidRPr="003B12DF" w:rsidRDefault="00692FC5" w:rsidP="007422CB">
            <w:pPr>
              <w:pStyle w:val="Compact"/>
              <w:rPr>
                <w:sz w:val="20"/>
                <w:szCs w:val="20"/>
              </w:rPr>
            </w:pPr>
            <w:r>
              <w:rPr>
                <w:sz w:val="20"/>
                <w:szCs w:val="20"/>
              </w:rPr>
              <w:t xml:space="preserve">   </w:t>
            </w:r>
            <w:r w:rsidR="003B12DF" w:rsidRPr="003B12DF">
              <w:rPr>
                <w:sz w:val="20"/>
                <w:szCs w:val="20"/>
              </w:rPr>
              <w:t>Multiple</w:t>
            </w:r>
            <w:r>
              <w:rPr>
                <w:sz w:val="20"/>
                <w:szCs w:val="20"/>
              </w:rPr>
              <w:t xml:space="preserve"> </w:t>
            </w:r>
            <w:r w:rsidR="003B12DF" w:rsidRPr="003B12DF">
              <w:rPr>
                <w:sz w:val="20"/>
                <w:szCs w:val="20"/>
              </w:rPr>
              <w:t>Race</w:t>
            </w:r>
          </w:p>
        </w:tc>
        <w:tc>
          <w:tcPr>
            <w:tcW w:w="0" w:type="auto"/>
            <w:tcBorders>
              <w:right w:val="single" w:sz="4" w:space="0" w:color="auto"/>
            </w:tcBorders>
          </w:tcPr>
          <w:p w14:paraId="61B3DA3A" w14:textId="77777777" w:rsidR="003B12DF" w:rsidRPr="003B12DF" w:rsidRDefault="003B12DF" w:rsidP="007422CB">
            <w:pPr>
              <w:pStyle w:val="Compact"/>
              <w:jc w:val="center"/>
              <w:rPr>
                <w:sz w:val="20"/>
                <w:szCs w:val="20"/>
              </w:rPr>
            </w:pPr>
            <w:r w:rsidRPr="003B12DF">
              <w:rPr>
                <w:sz w:val="20"/>
                <w:szCs w:val="20"/>
              </w:rPr>
              <w:t>81 (3.1%)</w:t>
            </w:r>
          </w:p>
        </w:tc>
      </w:tr>
      <w:tr w:rsidR="003B12DF" w14:paraId="79DDA331" w14:textId="77777777" w:rsidTr="00692FC5">
        <w:tc>
          <w:tcPr>
            <w:tcW w:w="0" w:type="auto"/>
            <w:tcBorders>
              <w:left w:val="single" w:sz="4" w:space="0" w:color="auto"/>
            </w:tcBorders>
          </w:tcPr>
          <w:p w14:paraId="4B41EA50" w14:textId="22649E84" w:rsidR="003B12DF" w:rsidRPr="003B12DF" w:rsidRDefault="00692FC5" w:rsidP="007422CB">
            <w:pPr>
              <w:pStyle w:val="Compact"/>
              <w:rPr>
                <w:sz w:val="20"/>
                <w:szCs w:val="20"/>
              </w:rPr>
            </w:pPr>
            <w:r>
              <w:rPr>
                <w:sz w:val="20"/>
                <w:szCs w:val="20"/>
              </w:rPr>
              <w:t xml:space="preserve">   </w:t>
            </w:r>
            <w:proofErr w:type="spellStart"/>
            <w:r w:rsidR="003B12DF" w:rsidRPr="003B12DF">
              <w:rPr>
                <w:sz w:val="20"/>
                <w:szCs w:val="20"/>
              </w:rPr>
              <w:t>Native</w:t>
            </w:r>
            <w:r>
              <w:rPr>
                <w:sz w:val="20"/>
                <w:szCs w:val="20"/>
              </w:rPr>
              <w:t xml:space="preserve"> </w:t>
            </w:r>
            <w:r w:rsidR="003B12DF" w:rsidRPr="003B12DF">
              <w:rPr>
                <w:sz w:val="20"/>
                <w:szCs w:val="20"/>
              </w:rPr>
              <w:t>Hawaiia</w:t>
            </w:r>
            <w:proofErr w:type="spellEnd"/>
            <w:r w:rsidR="003B12DF" w:rsidRPr="003B12DF">
              <w:rPr>
                <w:sz w:val="20"/>
                <w:szCs w:val="20"/>
              </w:rPr>
              <w:t>n</w:t>
            </w:r>
            <w:r>
              <w:rPr>
                <w:sz w:val="20"/>
                <w:szCs w:val="20"/>
              </w:rPr>
              <w:t xml:space="preserve"> or Other Pacific Islander</w:t>
            </w:r>
          </w:p>
        </w:tc>
        <w:tc>
          <w:tcPr>
            <w:tcW w:w="0" w:type="auto"/>
            <w:tcBorders>
              <w:right w:val="single" w:sz="4" w:space="0" w:color="auto"/>
            </w:tcBorders>
          </w:tcPr>
          <w:p w14:paraId="3AC6DB73" w14:textId="77777777" w:rsidR="003B12DF" w:rsidRPr="003B12DF" w:rsidRDefault="003B12DF" w:rsidP="007422CB">
            <w:pPr>
              <w:pStyle w:val="Compact"/>
              <w:jc w:val="center"/>
              <w:rPr>
                <w:sz w:val="20"/>
                <w:szCs w:val="20"/>
              </w:rPr>
            </w:pPr>
            <w:r w:rsidRPr="003B12DF">
              <w:rPr>
                <w:sz w:val="20"/>
                <w:szCs w:val="20"/>
              </w:rPr>
              <w:t>33 (1.3%)</w:t>
            </w:r>
          </w:p>
        </w:tc>
      </w:tr>
      <w:tr w:rsidR="003B12DF" w14:paraId="37AFCEB4" w14:textId="77777777" w:rsidTr="00692FC5">
        <w:tc>
          <w:tcPr>
            <w:tcW w:w="0" w:type="auto"/>
            <w:tcBorders>
              <w:left w:val="single" w:sz="4" w:space="0" w:color="auto"/>
            </w:tcBorders>
          </w:tcPr>
          <w:p w14:paraId="46CA7587" w14:textId="67581A9F" w:rsidR="003B12DF" w:rsidRPr="003B12DF" w:rsidRDefault="00692FC5" w:rsidP="007422CB">
            <w:pPr>
              <w:pStyle w:val="Compact"/>
              <w:rPr>
                <w:sz w:val="20"/>
                <w:szCs w:val="20"/>
              </w:rPr>
            </w:pPr>
            <w:r>
              <w:rPr>
                <w:sz w:val="20"/>
                <w:szCs w:val="20"/>
              </w:rPr>
              <w:t xml:space="preserve">   </w:t>
            </w:r>
            <w:r w:rsidR="003B12DF" w:rsidRPr="003B12DF">
              <w:rPr>
                <w:sz w:val="20"/>
                <w:szCs w:val="20"/>
              </w:rPr>
              <w:t>Other</w:t>
            </w:r>
          </w:p>
        </w:tc>
        <w:tc>
          <w:tcPr>
            <w:tcW w:w="0" w:type="auto"/>
            <w:tcBorders>
              <w:right w:val="single" w:sz="4" w:space="0" w:color="auto"/>
            </w:tcBorders>
          </w:tcPr>
          <w:p w14:paraId="600B9714" w14:textId="77777777" w:rsidR="003B12DF" w:rsidRPr="003B12DF" w:rsidRDefault="003B12DF" w:rsidP="007422CB">
            <w:pPr>
              <w:pStyle w:val="Compact"/>
              <w:jc w:val="center"/>
              <w:rPr>
                <w:sz w:val="20"/>
                <w:szCs w:val="20"/>
              </w:rPr>
            </w:pPr>
            <w:r w:rsidRPr="003B12DF">
              <w:rPr>
                <w:sz w:val="20"/>
                <w:szCs w:val="20"/>
              </w:rPr>
              <w:t>491 (19%)</w:t>
            </w:r>
          </w:p>
        </w:tc>
      </w:tr>
      <w:tr w:rsidR="003B12DF" w14:paraId="7A65101B" w14:textId="77777777" w:rsidTr="00692FC5">
        <w:tc>
          <w:tcPr>
            <w:tcW w:w="0" w:type="auto"/>
            <w:tcBorders>
              <w:left w:val="single" w:sz="4" w:space="0" w:color="auto"/>
              <w:bottom w:val="single" w:sz="4" w:space="0" w:color="auto"/>
            </w:tcBorders>
          </w:tcPr>
          <w:p w14:paraId="6E99B391" w14:textId="5E994D85" w:rsidR="003B12DF" w:rsidRPr="003B12DF" w:rsidRDefault="00692FC5" w:rsidP="007422CB">
            <w:pPr>
              <w:pStyle w:val="Compact"/>
              <w:rPr>
                <w:sz w:val="20"/>
                <w:szCs w:val="20"/>
              </w:rPr>
            </w:pPr>
            <w:r>
              <w:rPr>
                <w:sz w:val="20"/>
                <w:szCs w:val="20"/>
              </w:rPr>
              <w:t xml:space="preserve">   </w:t>
            </w:r>
            <w:r w:rsidR="003B12DF" w:rsidRPr="003B12DF">
              <w:rPr>
                <w:sz w:val="20"/>
                <w:szCs w:val="20"/>
              </w:rPr>
              <w:t>White</w:t>
            </w:r>
          </w:p>
        </w:tc>
        <w:tc>
          <w:tcPr>
            <w:tcW w:w="0" w:type="auto"/>
            <w:tcBorders>
              <w:bottom w:val="single" w:sz="4" w:space="0" w:color="auto"/>
              <w:right w:val="single" w:sz="4" w:space="0" w:color="auto"/>
            </w:tcBorders>
          </w:tcPr>
          <w:p w14:paraId="198ABC43" w14:textId="77777777" w:rsidR="003B12DF" w:rsidRPr="003B12DF" w:rsidRDefault="003B12DF" w:rsidP="007422CB">
            <w:pPr>
              <w:pStyle w:val="Compact"/>
              <w:jc w:val="center"/>
              <w:rPr>
                <w:sz w:val="20"/>
                <w:szCs w:val="20"/>
              </w:rPr>
            </w:pPr>
            <w:r w:rsidRPr="003B12DF">
              <w:rPr>
                <w:sz w:val="20"/>
                <w:szCs w:val="20"/>
              </w:rPr>
              <w:t>1,292 (49%)</w:t>
            </w:r>
          </w:p>
        </w:tc>
      </w:tr>
      <w:tr w:rsidR="003B12DF" w14:paraId="2224C575" w14:textId="77777777" w:rsidTr="00692FC5">
        <w:tc>
          <w:tcPr>
            <w:tcW w:w="0" w:type="auto"/>
            <w:tcBorders>
              <w:top w:val="single" w:sz="4" w:space="0" w:color="auto"/>
              <w:left w:val="single" w:sz="4" w:space="0" w:color="auto"/>
            </w:tcBorders>
          </w:tcPr>
          <w:p w14:paraId="1227DDBD" w14:textId="35B4A937" w:rsidR="003B12DF" w:rsidRPr="003B12DF" w:rsidRDefault="003B12DF" w:rsidP="007422CB">
            <w:pPr>
              <w:pStyle w:val="Compact"/>
              <w:rPr>
                <w:sz w:val="20"/>
                <w:szCs w:val="20"/>
              </w:rPr>
            </w:pPr>
            <w:r w:rsidRPr="003B12DF">
              <w:rPr>
                <w:sz w:val="20"/>
                <w:szCs w:val="20"/>
              </w:rPr>
              <w:t>COVID-19</w:t>
            </w:r>
            <w:r w:rsidR="00692FC5">
              <w:rPr>
                <w:sz w:val="20"/>
                <w:szCs w:val="20"/>
              </w:rPr>
              <w:t xml:space="preserve"> Status at Delivery</w:t>
            </w:r>
          </w:p>
        </w:tc>
        <w:tc>
          <w:tcPr>
            <w:tcW w:w="0" w:type="auto"/>
            <w:tcBorders>
              <w:top w:val="single" w:sz="4" w:space="0" w:color="auto"/>
              <w:right w:val="single" w:sz="4" w:space="0" w:color="auto"/>
            </w:tcBorders>
          </w:tcPr>
          <w:p w14:paraId="1E724DF0" w14:textId="77777777" w:rsidR="003B12DF" w:rsidRPr="003B12DF" w:rsidRDefault="003B12DF" w:rsidP="007422CB">
            <w:pPr>
              <w:pStyle w:val="Compact"/>
              <w:rPr>
                <w:sz w:val="20"/>
                <w:szCs w:val="20"/>
              </w:rPr>
            </w:pPr>
          </w:p>
        </w:tc>
      </w:tr>
      <w:tr w:rsidR="003B12DF" w14:paraId="4D50895E" w14:textId="77777777" w:rsidTr="00692FC5">
        <w:tc>
          <w:tcPr>
            <w:tcW w:w="0" w:type="auto"/>
            <w:tcBorders>
              <w:left w:val="single" w:sz="4" w:space="0" w:color="auto"/>
            </w:tcBorders>
          </w:tcPr>
          <w:p w14:paraId="77B7E81A" w14:textId="03E64436" w:rsidR="003B12DF" w:rsidRPr="003B12DF" w:rsidRDefault="00692FC5" w:rsidP="007422CB">
            <w:pPr>
              <w:pStyle w:val="Compact"/>
              <w:rPr>
                <w:sz w:val="20"/>
                <w:szCs w:val="20"/>
              </w:rPr>
            </w:pPr>
            <w:r>
              <w:rPr>
                <w:sz w:val="20"/>
                <w:szCs w:val="20"/>
              </w:rPr>
              <w:t xml:space="preserve">   </w:t>
            </w:r>
            <w:r w:rsidR="003B12DF" w:rsidRPr="003B12DF">
              <w:rPr>
                <w:sz w:val="20"/>
                <w:szCs w:val="20"/>
              </w:rPr>
              <w:t>COVID-19 Infection</w:t>
            </w:r>
          </w:p>
        </w:tc>
        <w:tc>
          <w:tcPr>
            <w:tcW w:w="0" w:type="auto"/>
            <w:tcBorders>
              <w:right w:val="single" w:sz="4" w:space="0" w:color="auto"/>
            </w:tcBorders>
          </w:tcPr>
          <w:p w14:paraId="65501C0A" w14:textId="77777777" w:rsidR="003B12DF" w:rsidRPr="003B12DF" w:rsidRDefault="003B12DF" w:rsidP="007422CB">
            <w:pPr>
              <w:pStyle w:val="Compact"/>
              <w:jc w:val="center"/>
              <w:rPr>
                <w:sz w:val="20"/>
                <w:szCs w:val="20"/>
              </w:rPr>
            </w:pPr>
            <w:r w:rsidRPr="003B12DF">
              <w:rPr>
                <w:sz w:val="20"/>
                <w:szCs w:val="20"/>
              </w:rPr>
              <w:t>341 (13%)</w:t>
            </w:r>
          </w:p>
        </w:tc>
      </w:tr>
      <w:tr w:rsidR="003B12DF" w14:paraId="1B41A983" w14:textId="77777777" w:rsidTr="00692FC5">
        <w:tc>
          <w:tcPr>
            <w:tcW w:w="0" w:type="auto"/>
            <w:tcBorders>
              <w:left w:val="single" w:sz="4" w:space="0" w:color="auto"/>
              <w:bottom w:val="single" w:sz="4" w:space="0" w:color="auto"/>
            </w:tcBorders>
          </w:tcPr>
          <w:p w14:paraId="25B2BDE8" w14:textId="670B96E2" w:rsidR="003B12DF" w:rsidRPr="003B12DF" w:rsidRDefault="00692FC5" w:rsidP="007422CB">
            <w:pPr>
              <w:pStyle w:val="Compact"/>
              <w:rPr>
                <w:sz w:val="20"/>
                <w:szCs w:val="20"/>
              </w:rPr>
            </w:pPr>
            <w:r>
              <w:rPr>
                <w:sz w:val="20"/>
                <w:szCs w:val="20"/>
              </w:rPr>
              <w:t xml:space="preserve">   </w:t>
            </w:r>
            <w:r w:rsidR="003B12DF" w:rsidRPr="003B12DF">
              <w:rPr>
                <w:sz w:val="20"/>
                <w:szCs w:val="20"/>
              </w:rPr>
              <w:t>No COVID-19 Infection</w:t>
            </w:r>
          </w:p>
        </w:tc>
        <w:tc>
          <w:tcPr>
            <w:tcW w:w="0" w:type="auto"/>
            <w:tcBorders>
              <w:bottom w:val="single" w:sz="4" w:space="0" w:color="auto"/>
              <w:right w:val="single" w:sz="4" w:space="0" w:color="auto"/>
            </w:tcBorders>
          </w:tcPr>
          <w:p w14:paraId="552C3031" w14:textId="77777777" w:rsidR="003B12DF" w:rsidRPr="003B12DF" w:rsidRDefault="003B12DF" w:rsidP="007422CB">
            <w:pPr>
              <w:pStyle w:val="Compact"/>
              <w:jc w:val="center"/>
              <w:rPr>
                <w:sz w:val="20"/>
                <w:szCs w:val="20"/>
              </w:rPr>
            </w:pPr>
            <w:r w:rsidRPr="003B12DF">
              <w:rPr>
                <w:sz w:val="20"/>
                <w:szCs w:val="20"/>
              </w:rPr>
              <w:t>2,271 (87%)</w:t>
            </w:r>
          </w:p>
        </w:tc>
      </w:tr>
      <w:tr w:rsidR="003B12DF" w14:paraId="69366917" w14:textId="77777777" w:rsidTr="00692FC5">
        <w:tc>
          <w:tcPr>
            <w:tcW w:w="0" w:type="auto"/>
            <w:tcBorders>
              <w:top w:val="single" w:sz="4" w:space="0" w:color="auto"/>
              <w:left w:val="single" w:sz="4" w:space="0" w:color="auto"/>
            </w:tcBorders>
          </w:tcPr>
          <w:p w14:paraId="4110B4AC" w14:textId="7FA1E6FE" w:rsidR="003B12DF" w:rsidRPr="003B12DF" w:rsidRDefault="00692FC5" w:rsidP="007422CB">
            <w:pPr>
              <w:pStyle w:val="Compact"/>
              <w:rPr>
                <w:sz w:val="20"/>
                <w:szCs w:val="20"/>
              </w:rPr>
            </w:pPr>
            <w:r>
              <w:rPr>
                <w:sz w:val="20"/>
                <w:szCs w:val="20"/>
              </w:rPr>
              <w:t>Delivery Type</w:t>
            </w:r>
          </w:p>
        </w:tc>
        <w:tc>
          <w:tcPr>
            <w:tcW w:w="0" w:type="auto"/>
            <w:tcBorders>
              <w:top w:val="single" w:sz="4" w:space="0" w:color="auto"/>
              <w:right w:val="single" w:sz="4" w:space="0" w:color="auto"/>
            </w:tcBorders>
          </w:tcPr>
          <w:p w14:paraId="38EFF929" w14:textId="77777777" w:rsidR="003B12DF" w:rsidRPr="003B12DF" w:rsidRDefault="003B12DF" w:rsidP="007422CB">
            <w:pPr>
              <w:pStyle w:val="Compact"/>
              <w:rPr>
                <w:sz w:val="20"/>
                <w:szCs w:val="20"/>
              </w:rPr>
            </w:pPr>
          </w:p>
        </w:tc>
      </w:tr>
      <w:tr w:rsidR="003B12DF" w14:paraId="4E47E17B" w14:textId="77777777" w:rsidTr="00692FC5">
        <w:tc>
          <w:tcPr>
            <w:tcW w:w="0" w:type="auto"/>
            <w:tcBorders>
              <w:left w:val="single" w:sz="4" w:space="0" w:color="auto"/>
            </w:tcBorders>
          </w:tcPr>
          <w:p w14:paraId="676A9755" w14:textId="2CAC817A" w:rsidR="003B12DF" w:rsidRPr="003B12DF" w:rsidRDefault="00692FC5" w:rsidP="007422CB">
            <w:pPr>
              <w:pStyle w:val="Compact"/>
              <w:rPr>
                <w:sz w:val="20"/>
                <w:szCs w:val="20"/>
              </w:rPr>
            </w:pPr>
            <w:r>
              <w:rPr>
                <w:sz w:val="20"/>
                <w:szCs w:val="20"/>
              </w:rPr>
              <w:t xml:space="preserve">   </w:t>
            </w:r>
            <w:r w:rsidR="003B12DF" w:rsidRPr="003B12DF">
              <w:rPr>
                <w:sz w:val="20"/>
                <w:szCs w:val="20"/>
              </w:rPr>
              <w:t>C-Section</w:t>
            </w:r>
          </w:p>
        </w:tc>
        <w:tc>
          <w:tcPr>
            <w:tcW w:w="0" w:type="auto"/>
            <w:tcBorders>
              <w:right w:val="single" w:sz="4" w:space="0" w:color="auto"/>
            </w:tcBorders>
          </w:tcPr>
          <w:p w14:paraId="7F3C7B01" w14:textId="77777777" w:rsidR="003B12DF" w:rsidRPr="003B12DF" w:rsidRDefault="003B12DF" w:rsidP="007422CB">
            <w:pPr>
              <w:pStyle w:val="Compact"/>
              <w:jc w:val="center"/>
              <w:rPr>
                <w:sz w:val="20"/>
                <w:szCs w:val="20"/>
              </w:rPr>
            </w:pPr>
            <w:r w:rsidRPr="003B12DF">
              <w:rPr>
                <w:sz w:val="20"/>
                <w:szCs w:val="20"/>
              </w:rPr>
              <w:t>385 (15%)</w:t>
            </w:r>
          </w:p>
        </w:tc>
      </w:tr>
      <w:tr w:rsidR="003B12DF" w14:paraId="37E35374" w14:textId="77777777" w:rsidTr="00692FC5">
        <w:tc>
          <w:tcPr>
            <w:tcW w:w="0" w:type="auto"/>
            <w:tcBorders>
              <w:left w:val="single" w:sz="4" w:space="0" w:color="auto"/>
              <w:bottom w:val="single" w:sz="4" w:space="0" w:color="auto"/>
            </w:tcBorders>
          </w:tcPr>
          <w:p w14:paraId="36A1F8F0" w14:textId="123CB60C" w:rsidR="003B12DF" w:rsidRPr="003B12DF" w:rsidRDefault="00692FC5" w:rsidP="007422CB">
            <w:pPr>
              <w:pStyle w:val="Compact"/>
              <w:rPr>
                <w:sz w:val="20"/>
                <w:szCs w:val="20"/>
              </w:rPr>
            </w:pPr>
            <w:r>
              <w:rPr>
                <w:sz w:val="20"/>
                <w:szCs w:val="20"/>
              </w:rPr>
              <w:t xml:space="preserve">   </w:t>
            </w:r>
            <w:r w:rsidR="003B12DF" w:rsidRPr="003B12DF">
              <w:rPr>
                <w:sz w:val="20"/>
                <w:szCs w:val="20"/>
              </w:rPr>
              <w:t>Vaginal Delivery</w:t>
            </w:r>
          </w:p>
        </w:tc>
        <w:tc>
          <w:tcPr>
            <w:tcW w:w="0" w:type="auto"/>
            <w:tcBorders>
              <w:bottom w:val="single" w:sz="4" w:space="0" w:color="auto"/>
              <w:right w:val="single" w:sz="4" w:space="0" w:color="auto"/>
            </w:tcBorders>
          </w:tcPr>
          <w:p w14:paraId="7ED7CD13" w14:textId="77777777" w:rsidR="003B12DF" w:rsidRPr="003B12DF" w:rsidRDefault="003B12DF" w:rsidP="007422CB">
            <w:pPr>
              <w:pStyle w:val="Compact"/>
              <w:jc w:val="center"/>
              <w:rPr>
                <w:sz w:val="20"/>
                <w:szCs w:val="20"/>
              </w:rPr>
            </w:pPr>
            <w:r w:rsidRPr="003B12DF">
              <w:rPr>
                <w:sz w:val="20"/>
                <w:szCs w:val="20"/>
              </w:rPr>
              <w:t>2,227 (85%)</w:t>
            </w:r>
          </w:p>
        </w:tc>
      </w:tr>
      <w:tr w:rsidR="003B12DF" w14:paraId="7088F183" w14:textId="77777777" w:rsidTr="00692FC5">
        <w:tc>
          <w:tcPr>
            <w:tcW w:w="0" w:type="auto"/>
            <w:tcBorders>
              <w:top w:val="single" w:sz="4" w:space="0" w:color="auto"/>
              <w:left w:val="single" w:sz="4" w:space="0" w:color="auto"/>
            </w:tcBorders>
          </w:tcPr>
          <w:p w14:paraId="70961162" w14:textId="77777777" w:rsidR="003B12DF" w:rsidRPr="003B12DF" w:rsidRDefault="003B12DF" w:rsidP="007422CB">
            <w:pPr>
              <w:pStyle w:val="Compact"/>
              <w:rPr>
                <w:sz w:val="20"/>
                <w:szCs w:val="20"/>
              </w:rPr>
            </w:pPr>
            <w:r w:rsidRPr="003B12DF">
              <w:rPr>
                <w:sz w:val="20"/>
                <w:szCs w:val="20"/>
              </w:rPr>
              <w:t>Pre-eclampsia Status</w:t>
            </w:r>
          </w:p>
        </w:tc>
        <w:tc>
          <w:tcPr>
            <w:tcW w:w="0" w:type="auto"/>
            <w:tcBorders>
              <w:top w:val="single" w:sz="4" w:space="0" w:color="auto"/>
              <w:right w:val="single" w:sz="4" w:space="0" w:color="auto"/>
            </w:tcBorders>
          </w:tcPr>
          <w:p w14:paraId="4825E32C" w14:textId="77777777" w:rsidR="003B12DF" w:rsidRPr="003B12DF" w:rsidRDefault="003B12DF" w:rsidP="007422CB">
            <w:pPr>
              <w:pStyle w:val="Compact"/>
              <w:rPr>
                <w:sz w:val="20"/>
                <w:szCs w:val="20"/>
              </w:rPr>
            </w:pPr>
          </w:p>
        </w:tc>
      </w:tr>
      <w:tr w:rsidR="003B12DF" w14:paraId="4741B6FC" w14:textId="77777777" w:rsidTr="00692FC5">
        <w:tc>
          <w:tcPr>
            <w:tcW w:w="0" w:type="auto"/>
            <w:tcBorders>
              <w:left w:val="single" w:sz="4" w:space="0" w:color="auto"/>
            </w:tcBorders>
          </w:tcPr>
          <w:p w14:paraId="50A62952" w14:textId="31B97B4D" w:rsidR="003B12DF" w:rsidRPr="003B12DF" w:rsidRDefault="00692FC5" w:rsidP="007422CB">
            <w:pPr>
              <w:pStyle w:val="Compact"/>
              <w:rPr>
                <w:sz w:val="20"/>
                <w:szCs w:val="20"/>
              </w:rPr>
            </w:pPr>
            <w:r>
              <w:rPr>
                <w:sz w:val="20"/>
                <w:szCs w:val="20"/>
              </w:rPr>
              <w:lastRenderedPageBreak/>
              <w:t xml:space="preserve">   </w:t>
            </w:r>
            <w:r w:rsidR="003B12DF" w:rsidRPr="003B12DF">
              <w:rPr>
                <w:sz w:val="20"/>
                <w:szCs w:val="20"/>
              </w:rPr>
              <w:t>No Pre-eclampsia</w:t>
            </w:r>
          </w:p>
        </w:tc>
        <w:tc>
          <w:tcPr>
            <w:tcW w:w="0" w:type="auto"/>
            <w:tcBorders>
              <w:right w:val="single" w:sz="4" w:space="0" w:color="auto"/>
            </w:tcBorders>
          </w:tcPr>
          <w:p w14:paraId="118C1D03" w14:textId="77777777" w:rsidR="003B12DF" w:rsidRPr="003B12DF" w:rsidRDefault="003B12DF" w:rsidP="007422CB">
            <w:pPr>
              <w:pStyle w:val="Compact"/>
              <w:jc w:val="center"/>
              <w:rPr>
                <w:sz w:val="20"/>
                <w:szCs w:val="20"/>
              </w:rPr>
            </w:pPr>
            <w:r w:rsidRPr="003B12DF">
              <w:rPr>
                <w:sz w:val="20"/>
                <w:szCs w:val="20"/>
              </w:rPr>
              <w:t>2,410 (92%)</w:t>
            </w:r>
          </w:p>
        </w:tc>
      </w:tr>
      <w:tr w:rsidR="003B12DF" w14:paraId="52A4F581" w14:textId="77777777" w:rsidTr="00692FC5">
        <w:tc>
          <w:tcPr>
            <w:tcW w:w="0" w:type="auto"/>
            <w:tcBorders>
              <w:left w:val="single" w:sz="4" w:space="0" w:color="auto"/>
              <w:bottom w:val="single" w:sz="4" w:space="0" w:color="auto"/>
            </w:tcBorders>
          </w:tcPr>
          <w:p w14:paraId="3F15B28B" w14:textId="47ED7E18" w:rsidR="003B12DF" w:rsidRPr="003B12DF" w:rsidRDefault="00692FC5" w:rsidP="007422CB">
            <w:pPr>
              <w:pStyle w:val="Compact"/>
              <w:rPr>
                <w:sz w:val="20"/>
                <w:szCs w:val="20"/>
              </w:rPr>
            </w:pPr>
            <w:r>
              <w:rPr>
                <w:sz w:val="20"/>
                <w:szCs w:val="20"/>
              </w:rPr>
              <w:t xml:space="preserve">   </w:t>
            </w:r>
            <w:r w:rsidR="003B12DF" w:rsidRPr="003B12DF">
              <w:rPr>
                <w:sz w:val="20"/>
                <w:szCs w:val="20"/>
              </w:rPr>
              <w:t>Pre-eclampsia</w:t>
            </w:r>
          </w:p>
        </w:tc>
        <w:tc>
          <w:tcPr>
            <w:tcW w:w="0" w:type="auto"/>
            <w:tcBorders>
              <w:bottom w:val="single" w:sz="4" w:space="0" w:color="auto"/>
              <w:right w:val="single" w:sz="4" w:space="0" w:color="auto"/>
            </w:tcBorders>
          </w:tcPr>
          <w:p w14:paraId="3E6F65E6" w14:textId="77777777" w:rsidR="003B12DF" w:rsidRPr="003B12DF" w:rsidRDefault="003B12DF" w:rsidP="007422CB">
            <w:pPr>
              <w:pStyle w:val="Compact"/>
              <w:jc w:val="center"/>
              <w:rPr>
                <w:sz w:val="20"/>
                <w:szCs w:val="20"/>
              </w:rPr>
            </w:pPr>
            <w:r w:rsidRPr="003B12DF">
              <w:rPr>
                <w:sz w:val="20"/>
                <w:szCs w:val="20"/>
              </w:rPr>
              <w:t>202 (7.7%)</w:t>
            </w:r>
          </w:p>
        </w:tc>
      </w:tr>
      <w:tr w:rsidR="003B12DF" w14:paraId="16291510" w14:textId="77777777" w:rsidTr="00692FC5">
        <w:tc>
          <w:tcPr>
            <w:tcW w:w="0" w:type="auto"/>
            <w:tcBorders>
              <w:top w:val="single" w:sz="4" w:space="0" w:color="auto"/>
              <w:left w:val="single" w:sz="4" w:space="0" w:color="auto"/>
            </w:tcBorders>
          </w:tcPr>
          <w:p w14:paraId="04533CFC" w14:textId="3B38F6F0" w:rsidR="003B12DF" w:rsidRPr="003B12DF" w:rsidRDefault="003B12DF" w:rsidP="007422CB">
            <w:pPr>
              <w:pStyle w:val="Compact"/>
              <w:rPr>
                <w:sz w:val="20"/>
                <w:szCs w:val="20"/>
              </w:rPr>
            </w:pPr>
            <w:r w:rsidRPr="003B12DF">
              <w:rPr>
                <w:sz w:val="20"/>
                <w:szCs w:val="20"/>
              </w:rPr>
              <w:t>Stillbirth</w:t>
            </w:r>
            <w:r w:rsidR="00692FC5">
              <w:rPr>
                <w:sz w:val="20"/>
                <w:szCs w:val="20"/>
              </w:rPr>
              <w:t xml:space="preserve"> Status</w:t>
            </w:r>
          </w:p>
        </w:tc>
        <w:tc>
          <w:tcPr>
            <w:tcW w:w="0" w:type="auto"/>
            <w:tcBorders>
              <w:top w:val="single" w:sz="4" w:space="0" w:color="auto"/>
              <w:right w:val="single" w:sz="4" w:space="0" w:color="auto"/>
            </w:tcBorders>
          </w:tcPr>
          <w:p w14:paraId="08573F6E" w14:textId="77777777" w:rsidR="003B12DF" w:rsidRPr="003B12DF" w:rsidRDefault="003B12DF" w:rsidP="007422CB">
            <w:pPr>
              <w:pStyle w:val="Compact"/>
              <w:rPr>
                <w:sz w:val="20"/>
                <w:szCs w:val="20"/>
              </w:rPr>
            </w:pPr>
          </w:p>
        </w:tc>
      </w:tr>
      <w:tr w:rsidR="003B12DF" w14:paraId="41210EE2" w14:textId="77777777" w:rsidTr="00692FC5">
        <w:tc>
          <w:tcPr>
            <w:tcW w:w="0" w:type="auto"/>
            <w:tcBorders>
              <w:left w:val="single" w:sz="4" w:space="0" w:color="auto"/>
            </w:tcBorders>
          </w:tcPr>
          <w:p w14:paraId="4119BFD5" w14:textId="741A4BEE" w:rsidR="003B12DF" w:rsidRPr="003B12DF" w:rsidRDefault="00692FC5" w:rsidP="007422CB">
            <w:pPr>
              <w:pStyle w:val="Compact"/>
              <w:rPr>
                <w:sz w:val="20"/>
                <w:szCs w:val="20"/>
              </w:rPr>
            </w:pPr>
            <w:r>
              <w:rPr>
                <w:sz w:val="20"/>
                <w:szCs w:val="20"/>
              </w:rPr>
              <w:t xml:space="preserve">   </w:t>
            </w:r>
            <w:r w:rsidR="003B12DF" w:rsidRPr="003B12DF">
              <w:rPr>
                <w:sz w:val="20"/>
                <w:szCs w:val="20"/>
              </w:rPr>
              <w:t>Live Birth</w:t>
            </w:r>
          </w:p>
        </w:tc>
        <w:tc>
          <w:tcPr>
            <w:tcW w:w="0" w:type="auto"/>
            <w:tcBorders>
              <w:right w:val="single" w:sz="4" w:space="0" w:color="auto"/>
            </w:tcBorders>
          </w:tcPr>
          <w:p w14:paraId="13E130FD" w14:textId="77777777" w:rsidR="003B12DF" w:rsidRPr="003B12DF" w:rsidRDefault="003B12DF" w:rsidP="007422CB">
            <w:pPr>
              <w:pStyle w:val="Compact"/>
              <w:jc w:val="center"/>
              <w:rPr>
                <w:sz w:val="20"/>
                <w:szCs w:val="20"/>
              </w:rPr>
            </w:pPr>
            <w:r w:rsidRPr="003B12DF">
              <w:rPr>
                <w:sz w:val="20"/>
                <w:szCs w:val="20"/>
              </w:rPr>
              <w:t>2,588 (99%)</w:t>
            </w:r>
          </w:p>
        </w:tc>
      </w:tr>
      <w:tr w:rsidR="003B12DF" w14:paraId="5CD71A96" w14:textId="77777777" w:rsidTr="00692FC5">
        <w:tc>
          <w:tcPr>
            <w:tcW w:w="0" w:type="auto"/>
            <w:tcBorders>
              <w:left w:val="single" w:sz="4" w:space="0" w:color="auto"/>
              <w:bottom w:val="single" w:sz="4" w:space="0" w:color="auto"/>
            </w:tcBorders>
          </w:tcPr>
          <w:p w14:paraId="2C44DE0D" w14:textId="3CD9AE1D" w:rsidR="003B12DF" w:rsidRPr="003B12DF" w:rsidRDefault="00692FC5" w:rsidP="007422CB">
            <w:pPr>
              <w:pStyle w:val="Compact"/>
              <w:rPr>
                <w:sz w:val="20"/>
                <w:szCs w:val="20"/>
              </w:rPr>
            </w:pPr>
            <w:r>
              <w:rPr>
                <w:sz w:val="20"/>
                <w:szCs w:val="20"/>
              </w:rPr>
              <w:t xml:space="preserve">   </w:t>
            </w:r>
            <w:r w:rsidR="003B12DF" w:rsidRPr="003B12DF">
              <w:rPr>
                <w:sz w:val="20"/>
                <w:szCs w:val="20"/>
              </w:rPr>
              <w:t>Stillbirth</w:t>
            </w:r>
          </w:p>
        </w:tc>
        <w:tc>
          <w:tcPr>
            <w:tcW w:w="0" w:type="auto"/>
            <w:tcBorders>
              <w:bottom w:val="single" w:sz="4" w:space="0" w:color="auto"/>
              <w:right w:val="single" w:sz="4" w:space="0" w:color="auto"/>
            </w:tcBorders>
          </w:tcPr>
          <w:p w14:paraId="69076C6A" w14:textId="77777777" w:rsidR="003B12DF" w:rsidRPr="003B12DF" w:rsidRDefault="003B12DF" w:rsidP="007422CB">
            <w:pPr>
              <w:pStyle w:val="Compact"/>
              <w:jc w:val="center"/>
              <w:rPr>
                <w:sz w:val="20"/>
                <w:szCs w:val="20"/>
              </w:rPr>
            </w:pPr>
            <w:r w:rsidRPr="003B12DF">
              <w:rPr>
                <w:sz w:val="20"/>
                <w:szCs w:val="20"/>
              </w:rPr>
              <w:t>24 (0.9%)</w:t>
            </w:r>
          </w:p>
        </w:tc>
      </w:tr>
      <w:tr w:rsidR="003B12DF" w14:paraId="58FBCA00" w14:textId="77777777" w:rsidTr="00692FC5">
        <w:tc>
          <w:tcPr>
            <w:tcW w:w="0" w:type="auto"/>
            <w:tcBorders>
              <w:top w:val="single" w:sz="4" w:space="0" w:color="auto"/>
              <w:left w:val="single" w:sz="4" w:space="0" w:color="auto"/>
            </w:tcBorders>
          </w:tcPr>
          <w:p w14:paraId="4323E4E7" w14:textId="51C194F3" w:rsidR="003B12DF" w:rsidRPr="003B12DF" w:rsidRDefault="00692FC5" w:rsidP="007422CB">
            <w:pPr>
              <w:pStyle w:val="Compact"/>
              <w:rPr>
                <w:sz w:val="20"/>
                <w:szCs w:val="20"/>
              </w:rPr>
            </w:pPr>
            <w:r>
              <w:rPr>
                <w:sz w:val="20"/>
                <w:szCs w:val="20"/>
              </w:rPr>
              <w:t>Single/m</w:t>
            </w:r>
            <w:r w:rsidR="003B12DF" w:rsidRPr="003B12DF">
              <w:rPr>
                <w:sz w:val="20"/>
                <w:szCs w:val="20"/>
              </w:rPr>
              <w:t>ulti</w:t>
            </w:r>
            <w:r>
              <w:rPr>
                <w:sz w:val="20"/>
                <w:szCs w:val="20"/>
              </w:rPr>
              <w:t xml:space="preserve">ple </w:t>
            </w:r>
            <w:r w:rsidR="003B12DF" w:rsidRPr="003B12DF">
              <w:rPr>
                <w:sz w:val="20"/>
                <w:szCs w:val="20"/>
              </w:rPr>
              <w:t>gestation</w:t>
            </w:r>
          </w:p>
        </w:tc>
        <w:tc>
          <w:tcPr>
            <w:tcW w:w="0" w:type="auto"/>
            <w:tcBorders>
              <w:top w:val="single" w:sz="4" w:space="0" w:color="auto"/>
              <w:right w:val="single" w:sz="4" w:space="0" w:color="auto"/>
            </w:tcBorders>
          </w:tcPr>
          <w:p w14:paraId="531147C9" w14:textId="77777777" w:rsidR="003B12DF" w:rsidRPr="003B12DF" w:rsidRDefault="003B12DF" w:rsidP="007422CB">
            <w:pPr>
              <w:pStyle w:val="Compact"/>
              <w:rPr>
                <w:sz w:val="20"/>
                <w:szCs w:val="20"/>
              </w:rPr>
            </w:pPr>
          </w:p>
        </w:tc>
      </w:tr>
      <w:tr w:rsidR="003B12DF" w14:paraId="10E19F87" w14:textId="77777777" w:rsidTr="00692FC5">
        <w:tc>
          <w:tcPr>
            <w:tcW w:w="0" w:type="auto"/>
            <w:tcBorders>
              <w:left w:val="single" w:sz="4" w:space="0" w:color="auto"/>
            </w:tcBorders>
          </w:tcPr>
          <w:p w14:paraId="4E8155FD" w14:textId="63115712" w:rsidR="003B12DF" w:rsidRPr="003B12DF" w:rsidRDefault="00692FC5" w:rsidP="007422CB">
            <w:pPr>
              <w:pStyle w:val="Compact"/>
              <w:rPr>
                <w:sz w:val="20"/>
                <w:szCs w:val="20"/>
              </w:rPr>
            </w:pPr>
            <w:r>
              <w:rPr>
                <w:sz w:val="20"/>
                <w:szCs w:val="20"/>
              </w:rPr>
              <w:t xml:space="preserve">   </w:t>
            </w:r>
            <w:r w:rsidR="003B12DF" w:rsidRPr="003B12DF">
              <w:rPr>
                <w:sz w:val="20"/>
                <w:szCs w:val="20"/>
              </w:rPr>
              <w:t>Multiple Gestation</w:t>
            </w:r>
          </w:p>
        </w:tc>
        <w:tc>
          <w:tcPr>
            <w:tcW w:w="0" w:type="auto"/>
            <w:tcBorders>
              <w:right w:val="single" w:sz="4" w:space="0" w:color="auto"/>
            </w:tcBorders>
          </w:tcPr>
          <w:p w14:paraId="52CCABA4" w14:textId="77777777" w:rsidR="003B12DF" w:rsidRPr="003B12DF" w:rsidRDefault="003B12DF" w:rsidP="007422CB">
            <w:pPr>
              <w:pStyle w:val="Compact"/>
              <w:jc w:val="center"/>
              <w:rPr>
                <w:sz w:val="20"/>
                <w:szCs w:val="20"/>
              </w:rPr>
            </w:pPr>
            <w:r w:rsidRPr="003B12DF">
              <w:rPr>
                <w:sz w:val="20"/>
                <w:szCs w:val="20"/>
              </w:rPr>
              <w:t>43 (1.6%)</w:t>
            </w:r>
          </w:p>
        </w:tc>
      </w:tr>
      <w:tr w:rsidR="003B12DF" w14:paraId="697D7565" w14:textId="77777777" w:rsidTr="00692FC5">
        <w:tc>
          <w:tcPr>
            <w:tcW w:w="0" w:type="auto"/>
            <w:tcBorders>
              <w:left w:val="single" w:sz="4" w:space="0" w:color="auto"/>
              <w:bottom w:val="single" w:sz="4" w:space="0" w:color="auto"/>
            </w:tcBorders>
          </w:tcPr>
          <w:p w14:paraId="3AB1B591" w14:textId="261C4F32" w:rsidR="003B12DF" w:rsidRPr="003B12DF" w:rsidRDefault="00692FC5" w:rsidP="007422CB">
            <w:pPr>
              <w:pStyle w:val="Compact"/>
              <w:rPr>
                <w:sz w:val="20"/>
                <w:szCs w:val="20"/>
              </w:rPr>
            </w:pPr>
            <w:r>
              <w:rPr>
                <w:sz w:val="20"/>
                <w:szCs w:val="20"/>
              </w:rPr>
              <w:t xml:space="preserve">   </w:t>
            </w:r>
            <w:r w:rsidR="003B12DF" w:rsidRPr="003B12DF">
              <w:rPr>
                <w:sz w:val="20"/>
                <w:szCs w:val="20"/>
              </w:rPr>
              <w:t>Singleton</w:t>
            </w:r>
          </w:p>
        </w:tc>
        <w:tc>
          <w:tcPr>
            <w:tcW w:w="0" w:type="auto"/>
            <w:tcBorders>
              <w:bottom w:val="single" w:sz="4" w:space="0" w:color="auto"/>
              <w:right w:val="single" w:sz="4" w:space="0" w:color="auto"/>
            </w:tcBorders>
          </w:tcPr>
          <w:p w14:paraId="4E8F4601" w14:textId="77777777" w:rsidR="003B12DF" w:rsidRPr="003B12DF" w:rsidRDefault="003B12DF" w:rsidP="007422CB">
            <w:pPr>
              <w:pStyle w:val="Compact"/>
              <w:jc w:val="center"/>
              <w:rPr>
                <w:sz w:val="20"/>
                <w:szCs w:val="20"/>
              </w:rPr>
            </w:pPr>
            <w:r w:rsidRPr="003B12DF">
              <w:rPr>
                <w:sz w:val="20"/>
                <w:szCs w:val="20"/>
              </w:rPr>
              <w:t>2,569 (98%)</w:t>
            </w:r>
          </w:p>
        </w:tc>
      </w:tr>
      <w:tr w:rsidR="003B12DF" w14:paraId="65331614" w14:textId="77777777" w:rsidTr="00692FC5">
        <w:tc>
          <w:tcPr>
            <w:tcW w:w="0" w:type="auto"/>
            <w:tcBorders>
              <w:top w:val="single" w:sz="4" w:space="0" w:color="auto"/>
              <w:left w:val="single" w:sz="4" w:space="0" w:color="auto"/>
            </w:tcBorders>
          </w:tcPr>
          <w:p w14:paraId="0D0D8627" w14:textId="77777777" w:rsidR="003B12DF" w:rsidRPr="003B12DF" w:rsidRDefault="003B12DF" w:rsidP="007422CB">
            <w:pPr>
              <w:pStyle w:val="Compact"/>
              <w:rPr>
                <w:sz w:val="20"/>
                <w:szCs w:val="20"/>
              </w:rPr>
            </w:pPr>
            <w:r w:rsidRPr="003B12DF">
              <w:rPr>
                <w:sz w:val="20"/>
                <w:szCs w:val="20"/>
              </w:rPr>
              <w:t>Maternal Mortality</w:t>
            </w:r>
          </w:p>
        </w:tc>
        <w:tc>
          <w:tcPr>
            <w:tcW w:w="0" w:type="auto"/>
            <w:tcBorders>
              <w:top w:val="single" w:sz="4" w:space="0" w:color="auto"/>
              <w:right w:val="single" w:sz="4" w:space="0" w:color="auto"/>
            </w:tcBorders>
          </w:tcPr>
          <w:p w14:paraId="5AE02D34" w14:textId="77777777" w:rsidR="003B12DF" w:rsidRPr="003B12DF" w:rsidRDefault="003B12DF" w:rsidP="007422CB">
            <w:pPr>
              <w:pStyle w:val="Compact"/>
              <w:rPr>
                <w:sz w:val="20"/>
                <w:szCs w:val="20"/>
              </w:rPr>
            </w:pPr>
          </w:p>
        </w:tc>
      </w:tr>
      <w:tr w:rsidR="003B12DF" w14:paraId="3B691A4D" w14:textId="77777777" w:rsidTr="00692FC5">
        <w:tc>
          <w:tcPr>
            <w:tcW w:w="0" w:type="auto"/>
            <w:tcBorders>
              <w:left w:val="single" w:sz="4" w:space="0" w:color="auto"/>
            </w:tcBorders>
          </w:tcPr>
          <w:p w14:paraId="73E2F692" w14:textId="29DB2272" w:rsidR="003B12DF" w:rsidRPr="003B12DF" w:rsidRDefault="00692FC5" w:rsidP="007422CB">
            <w:pPr>
              <w:pStyle w:val="Compact"/>
              <w:rPr>
                <w:sz w:val="20"/>
                <w:szCs w:val="20"/>
              </w:rPr>
            </w:pPr>
            <w:r>
              <w:rPr>
                <w:sz w:val="20"/>
                <w:szCs w:val="20"/>
              </w:rPr>
              <w:t xml:space="preserve">   </w:t>
            </w:r>
            <w:r w:rsidR="003B12DF" w:rsidRPr="003B12DF">
              <w:rPr>
                <w:sz w:val="20"/>
                <w:szCs w:val="20"/>
              </w:rPr>
              <w:t>Mother Alive</w:t>
            </w:r>
          </w:p>
        </w:tc>
        <w:tc>
          <w:tcPr>
            <w:tcW w:w="0" w:type="auto"/>
            <w:tcBorders>
              <w:right w:val="single" w:sz="4" w:space="0" w:color="auto"/>
            </w:tcBorders>
          </w:tcPr>
          <w:p w14:paraId="651A4229" w14:textId="77777777" w:rsidR="003B12DF" w:rsidRPr="003B12DF" w:rsidRDefault="003B12DF" w:rsidP="007422CB">
            <w:pPr>
              <w:pStyle w:val="Compact"/>
              <w:jc w:val="center"/>
              <w:rPr>
                <w:sz w:val="20"/>
                <w:szCs w:val="20"/>
              </w:rPr>
            </w:pPr>
            <w:r w:rsidRPr="003B12DF">
              <w:rPr>
                <w:sz w:val="20"/>
                <w:szCs w:val="20"/>
              </w:rPr>
              <w:t>2,606 (100%)</w:t>
            </w:r>
          </w:p>
        </w:tc>
      </w:tr>
      <w:tr w:rsidR="003B12DF" w14:paraId="1A0D521D" w14:textId="77777777" w:rsidTr="00692FC5">
        <w:tc>
          <w:tcPr>
            <w:tcW w:w="0" w:type="auto"/>
            <w:tcBorders>
              <w:left w:val="single" w:sz="4" w:space="0" w:color="auto"/>
              <w:bottom w:val="single" w:sz="4" w:space="0" w:color="auto"/>
            </w:tcBorders>
          </w:tcPr>
          <w:p w14:paraId="4A22DC08" w14:textId="15FFF26C" w:rsidR="003B12DF" w:rsidRPr="003B12DF" w:rsidRDefault="00692FC5" w:rsidP="007422CB">
            <w:pPr>
              <w:pStyle w:val="Compact"/>
              <w:rPr>
                <w:sz w:val="20"/>
                <w:szCs w:val="20"/>
              </w:rPr>
            </w:pPr>
            <w:r>
              <w:rPr>
                <w:sz w:val="20"/>
                <w:szCs w:val="20"/>
              </w:rPr>
              <w:t xml:space="preserve">   </w:t>
            </w:r>
            <w:r w:rsidR="003B12DF" w:rsidRPr="003B12DF">
              <w:rPr>
                <w:sz w:val="20"/>
                <w:szCs w:val="20"/>
              </w:rPr>
              <w:t>Unknown</w:t>
            </w:r>
          </w:p>
        </w:tc>
        <w:tc>
          <w:tcPr>
            <w:tcW w:w="0" w:type="auto"/>
            <w:tcBorders>
              <w:bottom w:val="single" w:sz="4" w:space="0" w:color="auto"/>
              <w:right w:val="single" w:sz="4" w:space="0" w:color="auto"/>
            </w:tcBorders>
          </w:tcPr>
          <w:p w14:paraId="365FF380" w14:textId="77777777" w:rsidR="003B12DF" w:rsidRPr="003B12DF" w:rsidRDefault="003B12DF" w:rsidP="007422CB">
            <w:pPr>
              <w:pStyle w:val="Compact"/>
              <w:jc w:val="center"/>
              <w:rPr>
                <w:sz w:val="20"/>
                <w:szCs w:val="20"/>
              </w:rPr>
            </w:pPr>
            <w:r w:rsidRPr="003B12DF">
              <w:rPr>
                <w:sz w:val="20"/>
                <w:szCs w:val="20"/>
              </w:rPr>
              <w:t>6</w:t>
            </w:r>
          </w:p>
        </w:tc>
      </w:tr>
      <w:tr w:rsidR="003B12DF" w14:paraId="312857CE" w14:textId="77777777" w:rsidTr="00692FC5">
        <w:tc>
          <w:tcPr>
            <w:tcW w:w="0" w:type="auto"/>
            <w:tcBorders>
              <w:top w:val="single" w:sz="4" w:space="0" w:color="auto"/>
              <w:left w:val="single" w:sz="4" w:space="0" w:color="auto"/>
            </w:tcBorders>
          </w:tcPr>
          <w:p w14:paraId="0C13E97F" w14:textId="77777777" w:rsidR="003B12DF" w:rsidRPr="003B12DF" w:rsidRDefault="003B12DF" w:rsidP="007422CB">
            <w:pPr>
              <w:pStyle w:val="Compact"/>
              <w:rPr>
                <w:sz w:val="20"/>
                <w:szCs w:val="20"/>
              </w:rPr>
            </w:pPr>
            <w:r w:rsidRPr="003B12DF">
              <w:rPr>
                <w:sz w:val="20"/>
                <w:szCs w:val="20"/>
              </w:rPr>
              <w:t>Asthma Status</w:t>
            </w:r>
          </w:p>
        </w:tc>
        <w:tc>
          <w:tcPr>
            <w:tcW w:w="0" w:type="auto"/>
            <w:tcBorders>
              <w:top w:val="single" w:sz="4" w:space="0" w:color="auto"/>
              <w:right w:val="single" w:sz="4" w:space="0" w:color="auto"/>
            </w:tcBorders>
          </w:tcPr>
          <w:p w14:paraId="72F16122" w14:textId="77777777" w:rsidR="003B12DF" w:rsidRPr="003B12DF" w:rsidRDefault="003B12DF" w:rsidP="007422CB">
            <w:pPr>
              <w:pStyle w:val="Compact"/>
              <w:rPr>
                <w:sz w:val="20"/>
                <w:szCs w:val="20"/>
              </w:rPr>
            </w:pPr>
          </w:p>
        </w:tc>
      </w:tr>
      <w:tr w:rsidR="003B12DF" w14:paraId="4C0FA759" w14:textId="77777777" w:rsidTr="00692FC5">
        <w:tc>
          <w:tcPr>
            <w:tcW w:w="0" w:type="auto"/>
            <w:tcBorders>
              <w:left w:val="single" w:sz="4" w:space="0" w:color="auto"/>
            </w:tcBorders>
          </w:tcPr>
          <w:p w14:paraId="73BD3673" w14:textId="679C5CC0" w:rsidR="003B12DF" w:rsidRPr="003B12DF" w:rsidRDefault="00692FC5" w:rsidP="007422CB">
            <w:pPr>
              <w:pStyle w:val="Compact"/>
              <w:rPr>
                <w:sz w:val="20"/>
                <w:szCs w:val="20"/>
              </w:rPr>
            </w:pPr>
            <w:r>
              <w:rPr>
                <w:sz w:val="20"/>
                <w:szCs w:val="20"/>
              </w:rPr>
              <w:t xml:space="preserve">   </w:t>
            </w:r>
            <w:r w:rsidR="003B12DF" w:rsidRPr="003B12DF">
              <w:rPr>
                <w:sz w:val="20"/>
                <w:szCs w:val="20"/>
              </w:rPr>
              <w:t>Asthma</w:t>
            </w:r>
          </w:p>
        </w:tc>
        <w:tc>
          <w:tcPr>
            <w:tcW w:w="0" w:type="auto"/>
            <w:tcBorders>
              <w:right w:val="single" w:sz="4" w:space="0" w:color="auto"/>
            </w:tcBorders>
          </w:tcPr>
          <w:p w14:paraId="3CDED7F5" w14:textId="77777777" w:rsidR="003B12DF" w:rsidRPr="003B12DF" w:rsidRDefault="003B12DF" w:rsidP="007422CB">
            <w:pPr>
              <w:pStyle w:val="Compact"/>
              <w:jc w:val="center"/>
              <w:rPr>
                <w:sz w:val="20"/>
                <w:szCs w:val="20"/>
              </w:rPr>
            </w:pPr>
            <w:r w:rsidRPr="003B12DF">
              <w:rPr>
                <w:sz w:val="20"/>
                <w:szCs w:val="20"/>
              </w:rPr>
              <w:t>259 (9.9%)</w:t>
            </w:r>
          </w:p>
        </w:tc>
      </w:tr>
      <w:tr w:rsidR="003B12DF" w14:paraId="0DE18AA8" w14:textId="77777777" w:rsidTr="00692FC5">
        <w:tc>
          <w:tcPr>
            <w:tcW w:w="0" w:type="auto"/>
            <w:tcBorders>
              <w:left w:val="single" w:sz="4" w:space="0" w:color="auto"/>
              <w:bottom w:val="single" w:sz="4" w:space="0" w:color="auto"/>
            </w:tcBorders>
          </w:tcPr>
          <w:p w14:paraId="0F93D6E7" w14:textId="58F4512F" w:rsidR="003B12DF" w:rsidRPr="003B12DF" w:rsidRDefault="00692FC5" w:rsidP="007422CB">
            <w:pPr>
              <w:pStyle w:val="Compact"/>
              <w:rPr>
                <w:sz w:val="20"/>
                <w:szCs w:val="20"/>
              </w:rPr>
            </w:pPr>
            <w:r>
              <w:rPr>
                <w:sz w:val="20"/>
                <w:szCs w:val="20"/>
              </w:rPr>
              <w:t xml:space="preserve">   </w:t>
            </w:r>
            <w:r w:rsidR="003B12DF" w:rsidRPr="003B12DF">
              <w:rPr>
                <w:sz w:val="20"/>
                <w:szCs w:val="20"/>
              </w:rPr>
              <w:t>No Asthma</w:t>
            </w:r>
          </w:p>
        </w:tc>
        <w:tc>
          <w:tcPr>
            <w:tcW w:w="0" w:type="auto"/>
            <w:tcBorders>
              <w:bottom w:val="single" w:sz="4" w:space="0" w:color="auto"/>
              <w:right w:val="single" w:sz="4" w:space="0" w:color="auto"/>
            </w:tcBorders>
          </w:tcPr>
          <w:p w14:paraId="35A82007" w14:textId="77777777" w:rsidR="003B12DF" w:rsidRPr="003B12DF" w:rsidRDefault="003B12DF" w:rsidP="007422CB">
            <w:pPr>
              <w:pStyle w:val="Compact"/>
              <w:jc w:val="center"/>
              <w:rPr>
                <w:sz w:val="20"/>
                <w:szCs w:val="20"/>
              </w:rPr>
            </w:pPr>
            <w:r w:rsidRPr="003B12DF">
              <w:rPr>
                <w:sz w:val="20"/>
                <w:szCs w:val="20"/>
              </w:rPr>
              <w:t>2,353 (90%)</w:t>
            </w:r>
          </w:p>
        </w:tc>
      </w:tr>
      <w:tr w:rsidR="003B12DF" w14:paraId="63554712" w14:textId="77777777" w:rsidTr="00692FC5">
        <w:tc>
          <w:tcPr>
            <w:tcW w:w="0" w:type="auto"/>
            <w:tcBorders>
              <w:top w:val="single" w:sz="4" w:space="0" w:color="auto"/>
              <w:left w:val="single" w:sz="4" w:space="0" w:color="auto"/>
            </w:tcBorders>
          </w:tcPr>
          <w:p w14:paraId="209107E7" w14:textId="77777777" w:rsidR="003B12DF" w:rsidRPr="003B12DF" w:rsidRDefault="003B12DF" w:rsidP="007422CB">
            <w:pPr>
              <w:pStyle w:val="Compact"/>
              <w:rPr>
                <w:sz w:val="20"/>
                <w:szCs w:val="20"/>
              </w:rPr>
            </w:pPr>
            <w:r w:rsidRPr="003B12DF">
              <w:rPr>
                <w:sz w:val="20"/>
                <w:szCs w:val="20"/>
              </w:rPr>
              <w:t>Diabetes Status</w:t>
            </w:r>
          </w:p>
        </w:tc>
        <w:tc>
          <w:tcPr>
            <w:tcW w:w="0" w:type="auto"/>
            <w:tcBorders>
              <w:top w:val="single" w:sz="4" w:space="0" w:color="auto"/>
              <w:right w:val="single" w:sz="4" w:space="0" w:color="auto"/>
            </w:tcBorders>
          </w:tcPr>
          <w:p w14:paraId="76E8FD95" w14:textId="77777777" w:rsidR="003B12DF" w:rsidRPr="003B12DF" w:rsidRDefault="003B12DF" w:rsidP="007422CB">
            <w:pPr>
              <w:pStyle w:val="Compact"/>
              <w:rPr>
                <w:sz w:val="20"/>
                <w:szCs w:val="20"/>
              </w:rPr>
            </w:pPr>
          </w:p>
        </w:tc>
      </w:tr>
      <w:tr w:rsidR="003B12DF" w14:paraId="02D7FA84" w14:textId="77777777" w:rsidTr="00692FC5">
        <w:tc>
          <w:tcPr>
            <w:tcW w:w="0" w:type="auto"/>
            <w:tcBorders>
              <w:left w:val="single" w:sz="4" w:space="0" w:color="auto"/>
            </w:tcBorders>
          </w:tcPr>
          <w:p w14:paraId="599466D0" w14:textId="2B7B79A1" w:rsidR="003B12DF" w:rsidRPr="003B12DF" w:rsidRDefault="00692FC5" w:rsidP="007422CB">
            <w:pPr>
              <w:pStyle w:val="Compact"/>
              <w:rPr>
                <w:sz w:val="20"/>
                <w:szCs w:val="20"/>
              </w:rPr>
            </w:pPr>
            <w:r>
              <w:rPr>
                <w:sz w:val="20"/>
                <w:szCs w:val="20"/>
              </w:rPr>
              <w:t xml:space="preserve">   </w:t>
            </w:r>
            <w:r w:rsidR="003B12DF" w:rsidRPr="003B12DF">
              <w:rPr>
                <w:sz w:val="20"/>
                <w:szCs w:val="20"/>
              </w:rPr>
              <w:t>Diabetes</w:t>
            </w:r>
          </w:p>
        </w:tc>
        <w:tc>
          <w:tcPr>
            <w:tcW w:w="0" w:type="auto"/>
            <w:tcBorders>
              <w:right w:val="single" w:sz="4" w:space="0" w:color="auto"/>
            </w:tcBorders>
          </w:tcPr>
          <w:p w14:paraId="2D391B45" w14:textId="77777777" w:rsidR="003B12DF" w:rsidRPr="003B12DF" w:rsidRDefault="003B12DF" w:rsidP="007422CB">
            <w:pPr>
              <w:pStyle w:val="Compact"/>
              <w:jc w:val="center"/>
              <w:rPr>
                <w:sz w:val="20"/>
                <w:szCs w:val="20"/>
              </w:rPr>
            </w:pPr>
            <w:r w:rsidRPr="003B12DF">
              <w:rPr>
                <w:sz w:val="20"/>
                <w:szCs w:val="20"/>
              </w:rPr>
              <w:t>55 (2.1%)</w:t>
            </w:r>
          </w:p>
        </w:tc>
      </w:tr>
      <w:tr w:rsidR="003B12DF" w14:paraId="0314038A" w14:textId="77777777" w:rsidTr="00692FC5">
        <w:tc>
          <w:tcPr>
            <w:tcW w:w="0" w:type="auto"/>
            <w:tcBorders>
              <w:left w:val="single" w:sz="4" w:space="0" w:color="auto"/>
              <w:bottom w:val="single" w:sz="4" w:space="0" w:color="auto"/>
            </w:tcBorders>
          </w:tcPr>
          <w:p w14:paraId="32B24244" w14:textId="242AD260" w:rsidR="003B12DF" w:rsidRPr="003B12DF" w:rsidRDefault="00692FC5" w:rsidP="007422CB">
            <w:pPr>
              <w:pStyle w:val="Compact"/>
              <w:rPr>
                <w:sz w:val="20"/>
                <w:szCs w:val="20"/>
              </w:rPr>
            </w:pPr>
            <w:r>
              <w:rPr>
                <w:sz w:val="20"/>
                <w:szCs w:val="20"/>
              </w:rPr>
              <w:t xml:space="preserve">   </w:t>
            </w:r>
            <w:r w:rsidR="003B12DF" w:rsidRPr="003B12DF">
              <w:rPr>
                <w:sz w:val="20"/>
                <w:szCs w:val="20"/>
              </w:rPr>
              <w:t>No Diabetes</w:t>
            </w:r>
          </w:p>
        </w:tc>
        <w:tc>
          <w:tcPr>
            <w:tcW w:w="0" w:type="auto"/>
            <w:tcBorders>
              <w:bottom w:val="single" w:sz="4" w:space="0" w:color="auto"/>
              <w:right w:val="single" w:sz="4" w:space="0" w:color="auto"/>
            </w:tcBorders>
          </w:tcPr>
          <w:p w14:paraId="7BA4F9E7" w14:textId="77777777" w:rsidR="003B12DF" w:rsidRPr="003B12DF" w:rsidRDefault="003B12DF" w:rsidP="007422CB">
            <w:pPr>
              <w:pStyle w:val="Compact"/>
              <w:jc w:val="center"/>
              <w:rPr>
                <w:sz w:val="20"/>
                <w:szCs w:val="20"/>
              </w:rPr>
            </w:pPr>
            <w:r w:rsidRPr="003B12DF">
              <w:rPr>
                <w:sz w:val="20"/>
                <w:szCs w:val="20"/>
              </w:rPr>
              <w:t>2,557 (98%)</w:t>
            </w:r>
          </w:p>
        </w:tc>
      </w:tr>
      <w:tr w:rsidR="003B12DF" w14:paraId="0B5429ED" w14:textId="77777777" w:rsidTr="00692FC5">
        <w:tc>
          <w:tcPr>
            <w:tcW w:w="0" w:type="auto"/>
            <w:tcBorders>
              <w:top w:val="single" w:sz="4" w:space="0" w:color="auto"/>
              <w:left w:val="single" w:sz="4" w:space="0" w:color="auto"/>
            </w:tcBorders>
          </w:tcPr>
          <w:p w14:paraId="31D878E9" w14:textId="77777777" w:rsidR="003B12DF" w:rsidRPr="003B12DF" w:rsidRDefault="003B12DF" w:rsidP="007422CB">
            <w:pPr>
              <w:pStyle w:val="Compact"/>
              <w:rPr>
                <w:sz w:val="20"/>
                <w:szCs w:val="20"/>
              </w:rPr>
            </w:pPr>
            <w:r w:rsidRPr="003B12DF">
              <w:rPr>
                <w:sz w:val="20"/>
                <w:szCs w:val="20"/>
              </w:rPr>
              <w:t>Smoking Status</w:t>
            </w:r>
          </w:p>
        </w:tc>
        <w:tc>
          <w:tcPr>
            <w:tcW w:w="0" w:type="auto"/>
            <w:tcBorders>
              <w:top w:val="single" w:sz="4" w:space="0" w:color="auto"/>
              <w:right w:val="single" w:sz="4" w:space="0" w:color="auto"/>
            </w:tcBorders>
          </w:tcPr>
          <w:p w14:paraId="58A349D4" w14:textId="77777777" w:rsidR="003B12DF" w:rsidRPr="003B12DF" w:rsidRDefault="003B12DF" w:rsidP="007422CB">
            <w:pPr>
              <w:pStyle w:val="Compact"/>
              <w:rPr>
                <w:sz w:val="20"/>
                <w:szCs w:val="20"/>
              </w:rPr>
            </w:pPr>
          </w:p>
        </w:tc>
      </w:tr>
      <w:tr w:rsidR="003B12DF" w14:paraId="277B674E" w14:textId="77777777" w:rsidTr="00692FC5">
        <w:tc>
          <w:tcPr>
            <w:tcW w:w="0" w:type="auto"/>
            <w:tcBorders>
              <w:left w:val="single" w:sz="4" w:space="0" w:color="auto"/>
            </w:tcBorders>
          </w:tcPr>
          <w:p w14:paraId="36D92FC2" w14:textId="784BFFAF" w:rsidR="003B12DF" w:rsidRPr="003B12DF" w:rsidRDefault="00692FC5" w:rsidP="007422CB">
            <w:pPr>
              <w:pStyle w:val="Compact"/>
              <w:rPr>
                <w:sz w:val="20"/>
                <w:szCs w:val="20"/>
              </w:rPr>
            </w:pPr>
            <w:r>
              <w:rPr>
                <w:sz w:val="20"/>
                <w:szCs w:val="20"/>
              </w:rPr>
              <w:t xml:space="preserve">   </w:t>
            </w:r>
            <w:r w:rsidR="003B12DF" w:rsidRPr="003B12DF">
              <w:rPr>
                <w:sz w:val="20"/>
                <w:szCs w:val="20"/>
              </w:rPr>
              <w:t>Ever Smoker</w:t>
            </w:r>
          </w:p>
        </w:tc>
        <w:tc>
          <w:tcPr>
            <w:tcW w:w="0" w:type="auto"/>
            <w:tcBorders>
              <w:right w:val="single" w:sz="4" w:space="0" w:color="auto"/>
            </w:tcBorders>
          </w:tcPr>
          <w:p w14:paraId="4509E3F7" w14:textId="77777777" w:rsidR="003B12DF" w:rsidRPr="003B12DF" w:rsidRDefault="003B12DF" w:rsidP="007422CB">
            <w:pPr>
              <w:pStyle w:val="Compact"/>
              <w:jc w:val="center"/>
              <w:rPr>
                <w:sz w:val="20"/>
                <w:szCs w:val="20"/>
              </w:rPr>
            </w:pPr>
            <w:r w:rsidRPr="003B12DF">
              <w:rPr>
                <w:sz w:val="20"/>
                <w:szCs w:val="20"/>
              </w:rPr>
              <w:t>46 (1.8%)</w:t>
            </w:r>
          </w:p>
        </w:tc>
      </w:tr>
      <w:tr w:rsidR="003B12DF" w14:paraId="3A844525" w14:textId="77777777" w:rsidTr="00692FC5">
        <w:tc>
          <w:tcPr>
            <w:tcW w:w="0" w:type="auto"/>
            <w:tcBorders>
              <w:left w:val="single" w:sz="4" w:space="0" w:color="auto"/>
              <w:bottom w:val="single" w:sz="4" w:space="0" w:color="auto"/>
            </w:tcBorders>
          </w:tcPr>
          <w:p w14:paraId="4436D661" w14:textId="406900B9" w:rsidR="003B12DF" w:rsidRPr="003B12DF" w:rsidRDefault="00692FC5" w:rsidP="007422CB">
            <w:pPr>
              <w:pStyle w:val="Compact"/>
              <w:rPr>
                <w:sz w:val="20"/>
                <w:szCs w:val="20"/>
              </w:rPr>
            </w:pPr>
            <w:r>
              <w:rPr>
                <w:sz w:val="20"/>
                <w:szCs w:val="20"/>
              </w:rPr>
              <w:t xml:space="preserve">   </w:t>
            </w:r>
            <w:r w:rsidR="003B12DF" w:rsidRPr="003B12DF">
              <w:rPr>
                <w:sz w:val="20"/>
                <w:szCs w:val="20"/>
              </w:rPr>
              <w:t>Non-Smoker</w:t>
            </w:r>
          </w:p>
        </w:tc>
        <w:tc>
          <w:tcPr>
            <w:tcW w:w="0" w:type="auto"/>
            <w:tcBorders>
              <w:bottom w:val="single" w:sz="4" w:space="0" w:color="auto"/>
              <w:right w:val="single" w:sz="4" w:space="0" w:color="auto"/>
            </w:tcBorders>
          </w:tcPr>
          <w:p w14:paraId="06CB262D" w14:textId="77777777" w:rsidR="003B12DF" w:rsidRPr="003B12DF" w:rsidRDefault="003B12DF" w:rsidP="007422CB">
            <w:pPr>
              <w:pStyle w:val="Compact"/>
              <w:jc w:val="center"/>
              <w:rPr>
                <w:sz w:val="20"/>
                <w:szCs w:val="20"/>
              </w:rPr>
            </w:pPr>
            <w:r w:rsidRPr="003B12DF">
              <w:rPr>
                <w:sz w:val="20"/>
                <w:szCs w:val="20"/>
              </w:rPr>
              <w:t>2,566 (98%)</w:t>
            </w:r>
          </w:p>
        </w:tc>
      </w:tr>
      <w:tr w:rsidR="003B12DF" w14:paraId="35B2911E" w14:textId="77777777" w:rsidTr="00692FC5">
        <w:tc>
          <w:tcPr>
            <w:tcW w:w="0" w:type="auto"/>
            <w:tcBorders>
              <w:top w:val="single" w:sz="4" w:space="0" w:color="auto"/>
              <w:left w:val="single" w:sz="4" w:space="0" w:color="auto"/>
            </w:tcBorders>
          </w:tcPr>
          <w:p w14:paraId="7F5D6A23" w14:textId="77777777" w:rsidR="003B12DF" w:rsidRPr="003B12DF" w:rsidRDefault="003B12DF" w:rsidP="007422CB">
            <w:pPr>
              <w:pStyle w:val="Compact"/>
              <w:rPr>
                <w:sz w:val="20"/>
                <w:szCs w:val="20"/>
              </w:rPr>
            </w:pPr>
            <w:r w:rsidRPr="003B12DF">
              <w:rPr>
                <w:sz w:val="20"/>
                <w:szCs w:val="20"/>
              </w:rPr>
              <w:t>Average PM Score in Zip Code of Residence</w:t>
            </w:r>
          </w:p>
        </w:tc>
        <w:tc>
          <w:tcPr>
            <w:tcW w:w="0" w:type="auto"/>
            <w:tcBorders>
              <w:top w:val="single" w:sz="4" w:space="0" w:color="auto"/>
              <w:right w:val="single" w:sz="4" w:space="0" w:color="auto"/>
            </w:tcBorders>
          </w:tcPr>
          <w:p w14:paraId="3DBDCEC8" w14:textId="77777777" w:rsidR="003B12DF" w:rsidRPr="003B12DF" w:rsidRDefault="003B12DF" w:rsidP="007422CB">
            <w:pPr>
              <w:pStyle w:val="Compact"/>
              <w:jc w:val="center"/>
              <w:rPr>
                <w:sz w:val="20"/>
                <w:szCs w:val="20"/>
              </w:rPr>
            </w:pPr>
            <w:r w:rsidRPr="003B12DF">
              <w:rPr>
                <w:sz w:val="20"/>
                <w:szCs w:val="20"/>
              </w:rPr>
              <w:t>8.92 (8.30, 9.67)</w:t>
            </w:r>
          </w:p>
        </w:tc>
      </w:tr>
      <w:tr w:rsidR="003B12DF" w14:paraId="45F8FED1" w14:textId="77777777" w:rsidTr="00692FC5">
        <w:tc>
          <w:tcPr>
            <w:tcW w:w="0" w:type="auto"/>
            <w:tcBorders>
              <w:left w:val="single" w:sz="4" w:space="0" w:color="auto"/>
              <w:bottom w:val="single" w:sz="4" w:space="0" w:color="auto"/>
            </w:tcBorders>
          </w:tcPr>
          <w:p w14:paraId="1E760A29" w14:textId="1D79F294" w:rsidR="003B12DF" w:rsidRPr="003B12DF" w:rsidRDefault="00692FC5" w:rsidP="007422CB">
            <w:pPr>
              <w:pStyle w:val="Compact"/>
              <w:rPr>
                <w:sz w:val="20"/>
                <w:szCs w:val="20"/>
              </w:rPr>
            </w:pPr>
            <w:r>
              <w:rPr>
                <w:sz w:val="20"/>
                <w:szCs w:val="20"/>
              </w:rPr>
              <w:t xml:space="preserve">   </w:t>
            </w:r>
            <w:r w:rsidR="003B12DF" w:rsidRPr="003B12DF">
              <w:rPr>
                <w:sz w:val="20"/>
                <w:szCs w:val="20"/>
              </w:rPr>
              <w:t>Unknown</w:t>
            </w:r>
          </w:p>
        </w:tc>
        <w:tc>
          <w:tcPr>
            <w:tcW w:w="0" w:type="auto"/>
            <w:tcBorders>
              <w:bottom w:val="single" w:sz="4" w:space="0" w:color="auto"/>
              <w:right w:val="single" w:sz="4" w:space="0" w:color="auto"/>
            </w:tcBorders>
          </w:tcPr>
          <w:p w14:paraId="31708DB4" w14:textId="77777777" w:rsidR="003B12DF" w:rsidRPr="003B12DF" w:rsidRDefault="003B12DF" w:rsidP="007422CB">
            <w:pPr>
              <w:pStyle w:val="Compact"/>
              <w:jc w:val="center"/>
              <w:rPr>
                <w:sz w:val="20"/>
                <w:szCs w:val="20"/>
              </w:rPr>
            </w:pPr>
            <w:r w:rsidRPr="003B12DF">
              <w:rPr>
                <w:sz w:val="20"/>
                <w:szCs w:val="20"/>
              </w:rPr>
              <w:t>897</w:t>
            </w:r>
          </w:p>
        </w:tc>
      </w:tr>
      <w:tr w:rsidR="003B12DF" w14:paraId="4FDD7C9B" w14:textId="77777777" w:rsidTr="00692FC5">
        <w:tc>
          <w:tcPr>
            <w:tcW w:w="0" w:type="auto"/>
            <w:tcBorders>
              <w:top w:val="single" w:sz="4" w:space="0" w:color="auto"/>
              <w:left w:val="single" w:sz="4" w:space="0" w:color="auto"/>
            </w:tcBorders>
          </w:tcPr>
          <w:p w14:paraId="7C547C40" w14:textId="77777777" w:rsidR="003B12DF" w:rsidRPr="003B12DF" w:rsidRDefault="003B12DF" w:rsidP="007422CB">
            <w:pPr>
              <w:pStyle w:val="Compact"/>
              <w:rPr>
                <w:sz w:val="20"/>
                <w:szCs w:val="20"/>
              </w:rPr>
            </w:pPr>
            <w:r w:rsidRPr="003B12DF">
              <w:rPr>
                <w:sz w:val="20"/>
                <w:szCs w:val="20"/>
              </w:rPr>
              <w:t>NEVI in Zip Code of Residence</w:t>
            </w:r>
          </w:p>
        </w:tc>
        <w:tc>
          <w:tcPr>
            <w:tcW w:w="0" w:type="auto"/>
            <w:tcBorders>
              <w:top w:val="single" w:sz="4" w:space="0" w:color="auto"/>
              <w:right w:val="single" w:sz="4" w:space="0" w:color="auto"/>
            </w:tcBorders>
          </w:tcPr>
          <w:p w14:paraId="502FABC5" w14:textId="77777777" w:rsidR="003B12DF" w:rsidRPr="003B12DF" w:rsidRDefault="003B12DF" w:rsidP="007422CB">
            <w:pPr>
              <w:pStyle w:val="Compact"/>
              <w:jc w:val="center"/>
              <w:rPr>
                <w:sz w:val="20"/>
                <w:szCs w:val="20"/>
              </w:rPr>
            </w:pPr>
            <w:r w:rsidRPr="003B12DF">
              <w:rPr>
                <w:sz w:val="20"/>
                <w:szCs w:val="20"/>
              </w:rPr>
              <w:t>0.35 (0.31, 0.40)</w:t>
            </w:r>
          </w:p>
        </w:tc>
      </w:tr>
      <w:tr w:rsidR="003B12DF" w14:paraId="30D26ED7" w14:textId="77777777" w:rsidTr="00692FC5">
        <w:tc>
          <w:tcPr>
            <w:tcW w:w="0" w:type="auto"/>
            <w:tcBorders>
              <w:left w:val="single" w:sz="4" w:space="0" w:color="auto"/>
              <w:bottom w:val="single" w:sz="4" w:space="0" w:color="auto"/>
            </w:tcBorders>
          </w:tcPr>
          <w:p w14:paraId="7F02308E" w14:textId="60704E1A" w:rsidR="003B12DF" w:rsidRPr="003B12DF" w:rsidRDefault="00692FC5" w:rsidP="007422CB">
            <w:pPr>
              <w:pStyle w:val="Compact"/>
              <w:rPr>
                <w:sz w:val="20"/>
                <w:szCs w:val="20"/>
              </w:rPr>
            </w:pPr>
            <w:r>
              <w:rPr>
                <w:sz w:val="20"/>
                <w:szCs w:val="20"/>
              </w:rPr>
              <w:t xml:space="preserve">   </w:t>
            </w:r>
            <w:r w:rsidR="003B12DF" w:rsidRPr="003B12DF">
              <w:rPr>
                <w:sz w:val="20"/>
                <w:szCs w:val="20"/>
              </w:rPr>
              <w:t>Unknown</w:t>
            </w:r>
          </w:p>
        </w:tc>
        <w:tc>
          <w:tcPr>
            <w:tcW w:w="0" w:type="auto"/>
            <w:tcBorders>
              <w:bottom w:val="single" w:sz="4" w:space="0" w:color="auto"/>
              <w:right w:val="single" w:sz="4" w:space="0" w:color="auto"/>
            </w:tcBorders>
          </w:tcPr>
          <w:p w14:paraId="120DA728" w14:textId="77777777" w:rsidR="003B12DF" w:rsidRPr="003B12DF" w:rsidRDefault="003B12DF" w:rsidP="007422CB">
            <w:pPr>
              <w:pStyle w:val="Compact"/>
              <w:jc w:val="center"/>
              <w:rPr>
                <w:sz w:val="20"/>
                <w:szCs w:val="20"/>
              </w:rPr>
            </w:pPr>
            <w:r w:rsidRPr="003B12DF">
              <w:rPr>
                <w:sz w:val="20"/>
                <w:szCs w:val="20"/>
              </w:rPr>
              <w:t>910</w:t>
            </w:r>
          </w:p>
        </w:tc>
      </w:tr>
      <w:tr w:rsidR="003B12DF" w14:paraId="748B2CE5" w14:textId="77777777" w:rsidTr="00692FC5">
        <w:tc>
          <w:tcPr>
            <w:tcW w:w="0" w:type="auto"/>
            <w:tcBorders>
              <w:top w:val="single" w:sz="4" w:space="0" w:color="auto"/>
              <w:left w:val="single" w:sz="4" w:space="0" w:color="auto"/>
            </w:tcBorders>
          </w:tcPr>
          <w:p w14:paraId="13F3089F" w14:textId="77777777" w:rsidR="003B12DF" w:rsidRPr="003B12DF" w:rsidRDefault="003B12DF" w:rsidP="007422CB">
            <w:pPr>
              <w:pStyle w:val="Compact"/>
              <w:rPr>
                <w:sz w:val="20"/>
                <w:szCs w:val="20"/>
              </w:rPr>
            </w:pPr>
            <w:r w:rsidRPr="003B12DF">
              <w:rPr>
                <w:sz w:val="20"/>
                <w:szCs w:val="20"/>
              </w:rPr>
              <w:t>Quartiles of Average PM Score</w:t>
            </w:r>
          </w:p>
        </w:tc>
        <w:tc>
          <w:tcPr>
            <w:tcW w:w="0" w:type="auto"/>
            <w:tcBorders>
              <w:top w:val="single" w:sz="4" w:space="0" w:color="auto"/>
              <w:right w:val="single" w:sz="4" w:space="0" w:color="auto"/>
            </w:tcBorders>
          </w:tcPr>
          <w:p w14:paraId="6D9E7F6B" w14:textId="77777777" w:rsidR="003B12DF" w:rsidRPr="003B12DF" w:rsidRDefault="003B12DF" w:rsidP="007422CB">
            <w:pPr>
              <w:pStyle w:val="Compact"/>
              <w:rPr>
                <w:sz w:val="20"/>
                <w:szCs w:val="20"/>
              </w:rPr>
            </w:pPr>
          </w:p>
        </w:tc>
      </w:tr>
      <w:tr w:rsidR="003B12DF" w14:paraId="0FD415DB" w14:textId="77777777" w:rsidTr="00692FC5">
        <w:tc>
          <w:tcPr>
            <w:tcW w:w="0" w:type="auto"/>
            <w:tcBorders>
              <w:left w:val="single" w:sz="4" w:space="0" w:color="auto"/>
            </w:tcBorders>
          </w:tcPr>
          <w:p w14:paraId="1A46454E" w14:textId="4F4E10E2" w:rsidR="003B12DF" w:rsidRPr="003B12DF" w:rsidRDefault="00692FC5" w:rsidP="007422CB">
            <w:pPr>
              <w:pStyle w:val="Compact"/>
              <w:rPr>
                <w:sz w:val="20"/>
                <w:szCs w:val="20"/>
              </w:rPr>
            </w:pPr>
            <w:r>
              <w:rPr>
                <w:sz w:val="20"/>
                <w:szCs w:val="20"/>
              </w:rPr>
              <w:t xml:space="preserve">   </w:t>
            </w:r>
            <w:r w:rsidR="003B12DF" w:rsidRPr="003B12DF">
              <w:rPr>
                <w:sz w:val="20"/>
                <w:szCs w:val="20"/>
              </w:rPr>
              <w:t>1</w:t>
            </w:r>
          </w:p>
        </w:tc>
        <w:tc>
          <w:tcPr>
            <w:tcW w:w="0" w:type="auto"/>
            <w:tcBorders>
              <w:right w:val="single" w:sz="4" w:space="0" w:color="auto"/>
            </w:tcBorders>
          </w:tcPr>
          <w:p w14:paraId="14DD7B69" w14:textId="77777777" w:rsidR="003B12DF" w:rsidRPr="003B12DF" w:rsidRDefault="003B12DF" w:rsidP="007422CB">
            <w:pPr>
              <w:pStyle w:val="Compact"/>
              <w:jc w:val="center"/>
              <w:rPr>
                <w:sz w:val="20"/>
                <w:szCs w:val="20"/>
              </w:rPr>
            </w:pPr>
            <w:r w:rsidRPr="003B12DF">
              <w:rPr>
                <w:sz w:val="20"/>
                <w:szCs w:val="20"/>
              </w:rPr>
              <w:t>461 (27%)</w:t>
            </w:r>
          </w:p>
        </w:tc>
      </w:tr>
      <w:tr w:rsidR="003B12DF" w14:paraId="0C6A64FC" w14:textId="77777777" w:rsidTr="00692FC5">
        <w:tc>
          <w:tcPr>
            <w:tcW w:w="0" w:type="auto"/>
            <w:tcBorders>
              <w:left w:val="single" w:sz="4" w:space="0" w:color="auto"/>
            </w:tcBorders>
          </w:tcPr>
          <w:p w14:paraId="56573A90" w14:textId="2792D0D8" w:rsidR="003B12DF" w:rsidRPr="003B12DF" w:rsidRDefault="00692FC5" w:rsidP="007422CB">
            <w:pPr>
              <w:pStyle w:val="Compact"/>
              <w:rPr>
                <w:sz w:val="20"/>
                <w:szCs w:val="20"/>
              </w:rPr>
            </w:pPr>
            <w:r>
              <w:rPr>
                <w:sz w:val="20"/>
                <w:szCs w:val="20"/>
              </w:rPr>
              <w:t xml:space="preserve">   2</w:t>
            </w:r>
          </w:p>
        </w:tc>
        <w:tc>
          <w:tcPr>
            <w:tcW w:w="0" w:type="auto"/>
            <w:tcBorders>
              <w:right w:val="single" w:sz="4" w:space="0" w:color="auto"/>
            </w:tcBorders>
          </w:tcPr>
          <w:p w14:paraId="6B6E9581" w14:textId="77777777" w:rsidR="003B12DF" w:rsidRPr="003B12DF" w:rsidRDefault="003B12DF" w:rsidP="007422CB">
            <w:pPr>
              <w:pStyle w:val="Compact"/>
              <w:jc w:val="center"/>
              <w:rPr>
                <w:sz w:val="20"/>
                <w:szCs w:val="20"/>
              </w:rPr>
            </w:pPr>
            <w:r w:rsidRPr="003B12DF">
              <w:rPr>
                <w:sz w:val="20"/>
                <w:szCs w:val="20"/>
              </w:rPr>
              <w:t>426 (25%)</w:t>
            </w:r>
          </w:p>
        </w:tc>
      </w:tr>
      <w:tr w:rsidR="003B12DF" w14:paraId="5AD0CD97" w14:textId="77777777" w:rsidTr="00692FC5">
        <w:tc>
          <w:tcPr>
            <w:tcW w:w="0" w:type="auto"/>
            <w:tcBorders>
              <w:left w:val="single" w:sz="4" w:space="0" w:color="auto"/>
            </w:tcBorders>
          </w:tcPr>
          <w:p w14:paraId="68B0D968" w14:textId="01C6B519" w:rsidR="003B12DF" w:rsidRPr="003B12DF" w:rsidRDefault="00692FC5" w:rsidP="007422CB">
            <w:pPr>
              <w:pStyle w:val="Compact"/>
              <w:rPr>
                <w:sz w:val="20"/>
                <w:szCs w:val="20"/>
              </w:rPr>
            </w:pPr>
            <w:r>
              <w:rPr>
                <w:sz w:val="20"/>
                <w:szCs w:val="20"/>
              </w:rPr>
              <w:t xml:space="preserve">   </w:t>
            </w:r>
            <w:r w:rsidR="003B12DF" w:rsidRPr="003B12DF">
              <w:rPr>
                <w:sz w:val="20"/>
                <w:szCs w:val="20"/>
              </w:rPr>
              <w:t>3</w:t>
            </w:r>
          </w:p>
        </w:tc>
        <w:tc>
          <w:tcPr>
            <w:tcW w:w="0" w:type="auto"/>
            <w:tcBorders>
              <w:right w:val="single" w:sz="4" w:space="0" w:color="auto"/>
            </w:tcBorders>
          </w:tcPr>
          <w:p w14:paraId="63915E05" w14:textId="77777777" w:rsidR="003B12DF" w:rsidRPr="003B12DF" w:rsidRDefault="003B12DF" w:rsidP="007422CB">
            <w:pPr>
              <w:pStyle w:val="Compact"/>
              <w:jc w:val="center"/>
              <w:rPr>
                <w:sz w:val="20"/>
                <w:szCs w:val="20"/>
              </w:rPr>
            </w:pPr>
            <w:r w:rsidRPr="003B12DF">
              <w:rPr>
                <w:sz w:val="20"/>
                <w:szCs w:val="20"/>
              </w:rPr>
              <w:t>393 (23%)</w:t>
            </w:r>
          </w:p>
        </w:tc>
      </w:tr>
      <w:tr w:rsidR="003B12DF" w14:paraId="6EE67F98" w14:textId="77777777" w:rsidTr="00692FC5">
        <w:tc>
          <w:tcPr>
            <w:tcW w:w="0" w:type="auto"/>
            <w:tcBorders>
              <w:left w:val="single" w:sz="4" w:space="0" w:color="auto"/>
            </w:tcBorders>
          </w:tcPr>
          <w:p w14:paraId="176C09A7" w14:textId="43F3B920" w:rsidR="003B12DF" w:rsidRPr="003B12DF" w:rsidRDefault="00692FC5" w:rsidP="007422CB">
            <w:pPr>
              <w:pStyle w:val="Compact"/>
              <w:rPr>
                <w:sz w:val="20"/>
                <w:szCs w:val="20"/>
              </w:rPr>
            </w:pPr>
            <w:r>
              <w:rPr>
                <w:sz w:val="20"/>
                <w:szCs w:val="20"/>
              </w:rPr>
              <w:t xml:space="preserve">   </w:t>
            </w:r>
            <w:r w:rsidR="003B12DF" w:rsidRPr="003B12DF">
              <w:rPr>
                <w:sz w:val="20"/>
                <w:szCs w:val="20"/>
              </w:rPr>
              <w:t>4</w:t>
            </w:r>
          </w:p>
        </w:tc>
        <w:tc>
          <w:tcPr>
            <w:tcW w:w="0" w:type="auto"/>
            <w:tcBorders>
              <w:right w:val="single" w:sz="4" w:space="0" w:color="auto"/>
            </w:tcBorders>
          </w:tcPr>
          <w:p w14:paraId="26BAFF72" w14:textId="77777777" w:rsidR="003B12DF" w:rsidRPr="003B12DF" w:rsidRDefault="003B12DF" w:rsidP="007422CB">
            <w:pPr>
              <w:pStyle w:val="Compact"/>
              <w:jc w:val="center"/>
              <w:rPr>
                <w:sz w:val="20"/>
                <w:szCs w:val="20"/>
              </w:rPr>
            </w:pPr>
            <w:r w:rsidRPr="003B12DF">
              <w:rPr>
                <w:sz w:val="20"/>
                <w:szCs w:val="20"/>
              </w:rPr>
              <w:t>435 (25%)</w:t>
            </w:r>
          </w:p>
        </w:tc>
      </w:tr>
      <w:tr w:rsidR="003B12DF" w14:paraId="054CBC41" w14:textId="77777777" w:rsidTr="00692FC5">
        <w:trPr>
          <w:trHeight w:val="57"/>
        </w:trPr>
        <w:tc>
          <w:tcPr>
            <w:tcW w:w="0" w:type="auto"/>
            <w:tcBorders>
              <w:left w:val="single" w:sz="4" w:space="0" w:color="auto"/>
              <w:bottom w:val="single" w:sz="4" w:space="0" w:color="auto"/>
            </w:tcBorders>
          </w:tcPr>
          <w:p w14:paraId="1BB9D97D" w14:textId="4B44E856" w:rsidR="003B12DF" w:rsidRPr="003B12DF" w:rsidRDefault="00692FC5" w:rsidP="007422CB">
            <w:pPr>
              <w:pStyle w:val="Compact"/>
              <w:rPr>
                <w:sz w:val="20"/>
                <w:szCs w:val="20"/>
              </w:rPr>
            </w:pPr>
            <w:r>
              <w:rPr>
                <w:sz w:val="20"/>
                <w:szCs w:val="20"/>
              </w:rPr>
              <w:t xml:space="preserve">   </w:t>
            </w:r>
            <w:r w:rsidR="003B12DF" w:rsidRPr="003B12DF">
              <w:rPr>
                <w:sz w:val="20"/>
                <w:szCs w:val="20"/>
              </w:rPr>
              <w:t>Unknown</w:t>
            </w:r>
          </w:p>
        </w:tc>
        <w:tc>
          <w:tcPr>
            <w:tcW w:w="0" w:type="auto"/>
            <w:tcBorders>
              <w:bottom w:val="single" w:sz="4" w:space="0" w:color="auto"/>
              <w:right w:val="single" w:sz="4" w:space="0" w:color="auto"/>
            </w:tcBorders>
          </w:tcPr>
          <w:p w14:paraId="43D96035" w14:textId="77777777" w:rsidR="003B12DF" w:rsidRPr="003B12DF" w:rsidRDefault="003B12DF" w:rsidP="007422CB">
            <w:pPr>
              <w:pStyle w:val="Compact"/>
              <w:jc w:val="center"/>
              <w:rPr>
                <w:sz w:val="20"/>
                <w:szCs w:val="20"/>
              </w:rPr>
            </w:pPr>
            <w:r w:rsidRPr="003B12DF">
              <w:rPr>
                <w:sz w:val="20"/>
                <w:szCs w:val="20"/>
              </w:rPr>
              <w:t>897</w:t>
            </w:r>
          </w:p>
        </w:tc>
      </w:tr>
      <w:tr w:rsidR="002A4DC2" w14:paraId="6657B7DC" w14:textId="77777777" w:rsidTr="002A4DC2">
        <w:tblPrEx>
          <w:tblLook w:val="04A0" w:firstRow="1" w:lastRow="0" w:firstColumn="1" w:lastColumn="0" w:noHBand="0" w:noVBand="1"/>
        </w:tblPrEx>
        <w:tc>
          <w:tcPr>
            <w:tcW w:w="0" w:type="auto"/>
          </w:tcPr>
          <w:p w14:paraId="046F5916" w14:textId="77777777" w:rsidR="002A4DC2" w:rsidRPr="00887060" w:rsidRDefault="002A4DC2" w:rsidP="007422CB">
            <w:pPr>
              <w:pStyle w:val="Compact"/>
              <w:rPr>
                <w:sz w:val="20"/>
                <w:szCs w:val="20"/>
              </w:rPr>
            </w:pPr>
            <w:r w:rsidRPr="002A4DC2">
              <w:rPr>
                <w:sz w:val="18"/>
                <w:szCs w:val="18"/>
                <w:vertAlign w:val="superscript"/>
              </w:rPr>
              <w:t>1</w:t>
            </w:r>
            <w:r w:rsidRPr="002A4DC2">
              <w:rPr>
                <w:sz w:val="18"/>
                <w:szCs w:val="18"/>
              </w:rPr>
              <w:t>Median (IQR) or Frequency (%)</w:t>
            </w:r>
          </w:p>
        </w:tc>
        <w:tc>
          <w:tcPr>
            <w:tcW w:w="0" w:type="auto"/>
          </w:tcPr>
          <w:p w14:paraId="3EB950A6" w14:textId="77777777" w:rsidR="002A4DC2" w:rsidRPr="00887060" w:rsidRDefault="002A4DC2" w:rsidP="007422CB">
            <w:pPr>
              <w:pStyle w:val="Compact"/>
              <w:jc w:val="center"/>
              <w:rPr>
                <w:sz w:val="20"/>
                <w:szCs w:val="20"/>
              </w:rPr>
            </w:pPr>
          </w:p>
        </w:tc>
      </w:tr>
    </w:tbl>
    <w:p w14:paraId="59712986" w14:textId="77777777" w:rsidR="00C55044" w:rsidRDefault="00C55044" w:rsidP="002558A4">
      <w:pPr>
        <w:rPr>
          <w:rFonts w:ascii="Times New Roman" w:hAnsi="Times New Roman" w:cs="Times New Roman"/>
          <w:sz w:val="24"/>
          <w:szCs w:val="24"/>
        </w:rPr>
      </w:pPr>
    </w:p>
    <w:p w14:paraId="28D2C28E" w14:textId="5AB02AEB" w:rsidR="00265DC2" w:rsidRPr="00265DC2" w:rsidRDefault="00265DC2" w:rsidP="00265DC2">
      <w:pPr>
        <w:jc w:val="center"/>
        <w:rPr>
          <w:rFonts w:ascii="Times New Roman" w:hAnsi="Times New Roman" w:cs="Times New Roman"/>
          <w:b/>
          <w:bCs/>
          <w:sz w:val="24"/>
          <w:szCs w:val="24"/>
        </w:rPr>
      </w:pPr>
      <w:r w:rsidRPr="00265DC2">
        <w:rPr>
          <w:rFonts w:ascii="Times New Roman" w:hAnsi="Times New Roman" w:cs="Times New Roman"/>
          <w:b/>
          <w:bCs/>
          <w:sz w:val="24"/>
          <w:szCs w:val="24"/>
        </w:rPr>
        <w:t>References</w:t>
      </w:r>
    </w:p>
    <w:p w14:paraId="34553701" w14:textId="77777777" w:rsidR="00B26ABE" w:rsidRPr="00B26ABE" w:rsidRDefault="00AA6B49" w:rsidP="00B26ABE">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00B26ABE" w:rsidRPr="00B26ABE">
        <w:rPr>
          <w:rFonts w:ascii="Times New Roman" w:hAnsi="Times New Roman" w:cs="Times New Roman"/>
          <w:sz w:val="24"/>
        </w:rPr>
        <w:t>1.</w:t>
      </w:r>
      <w:r w:rsidR="00B26ABE" w:rsidRPr="00B26ABE">
        <w:rPr>
          <w:rFonts w:ascii="Times New Roman" w:hAnsi="Times New Roman" w:cs="Times New Roman"/>
          <w:sz w:val="24"/>
        </w:rPr>
        <w:tab/>
        <w:t>World Health Organization. WHO Coronavirus (COVID-19) Dashboard. Accessed December 29, 2022. https://covid19.who.int</w:t>
      </w:r>
    </w:p>
    <w:p w14:paraId="442BF1FC"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2.</w:t>
      </w:r>
      <w:r w:rsidRPr="00B26ABE">
        <w:rPr>
          <w:rFonts w:ascii="Times New Roman" w:hAnsi="Times New Roman" w:cs="Times New Roman"/>
          <w:sz w:val="24"/>
        </w:rPr>
        <w:tab/>
      </w:r>
      <w:proofErr w:type="spellStart"/>
      <w:r w:rsidRPr="00B26ABE">
        <w:rPr>
          <w:rFonts w:ascii="Times New Roman" w:hAnsi="Times New Roman" w:cs="Times New Roman"/>
          <w:sz w:val="24"/>
        </w:rPr>
        <w:t>Oncel</w:t>
      </w:r>
      <w:proofErr w:type="spellEnd"/>
      <w:r w:rsidRPr="00B26ABE">
        <w:rPr>
          <w:rFonts w:ascii="Times New Roman" w:hAnsi="Times New Roman" w:cs="Times New Roman"/>
          <w:sz w:val="24"/>
        </w:rPr>
        <w:t xml:space="preserve"> MY, </w:t>
      </w:r>
      <w:proofErr w:type="spellStart"/>
      <w:r w:rsidRPr="00B26ABE">
        <w:rPr>
          <w:rFonts w:ascii="Times New Roman" w:hAnsi="Times New Roman" w:cs="Times New Roman"/>
          <w:sz w:val="24"/>
        </w:rPr>
        <w:t>Akın</w:t>
      </w:r>
      <w:proofErr w:type="spellEnd"/>
      <w:r w:rsidRPr="00B26ABE">
        <w:rPr>
          <w:rFonts w:ascii="Times New Roman" w:hAnsi="Times New Roman" w:cs="Times New Roman"/>
          <w:sz w:val="24"/>
        </w:rPr>
        <w:t xml:space="preserve"> IM, </w:t>
      </w:r>
      <w:proofErr w:type="spellStart"/>
      <w:r w:rsidRPr="00B26ABE">
        <w:rPr>
          <w:rFonts w:ascii="Times New Roman" w:hAnsi="Times New Roman" w:cs="Times New Roman"/>
          <w:sz w:val="24"/>
        </w:rPr>
        <w:t>Kanburoglu</w:t>
      </w:r>
      <w:proofErr w:type="spellEnd"/>
      <w:r w:rsidRPr="00B26ABE">
        <w:rPr>
          <w:rFonts w:ascii="Times New Roman" w:hAnsi="Times New Roman" w:cs="Times New Roman"/>
          <w:sz w:val="24"/>
        </w:rPr>
        <w:t xml:space="preserve"> MK, et al. A multicenter study on epidemiological and clinical characteristics of 125 newborns born to women infected with COVID-19 by Turkish Neonatal Society. </w:t>
      </w:r>
      <w:proofErr w:type="spellStart"/>
      <w:r w:rsidRPr="00B26ABE">
        <w:rPr>
          <w:rFonts w:ascii="Times New Roman" w:hAnsi="Times New Roman" w:cs="Times New Roman"/>
          <w:i/>
          <w:iCs/>
          <w:sz w:val="24"/>
        </w:rPr>
        <w:t>Eur</w:t>
      </w:r>
      <w:proofErr w:type="spellEnd"/>
      <w:r w:rsidRPr="00B26ABE">
        <w:rPr>
          <w:rFonts w:ascii="Times New Roman" w:hAnsi="Times New Roman" w:cs="Times New Roman"/>
          <w:i/>
          <w:iCs/>
          <w:sz w:val="24"/>
        </w:rPr>
        <w:t xml:space="preserve"> J </w:t>
      </w:r>
      <w:proofErr w:type="spellStart"/>
      <w:r w:rsidRPr="00B26ABE">
        <w:rPr>
          <w:rFonts w:ascii="Times New Roman" w:hAnsi="Times New Roman" w:cs="Times New Roman"/>
          <w:i/>
          <w:iCs/>
          <w:sz w:val="24"/>
        </w:rPr>
        <w:t>Pediatr</w:t>
      </w:r>
      <w:proofErr w:type="spellEnd"/>
      <w:r w:rsidRPr="00B26ABE">
        <w:rPr>
          <w:rFonts w:ascii="Times New Roman" w:hAnsi="Times New Roman" w:cs="Times New Roman"/>
          <w:sz w:val="24"/>
        </w:rPr>
        <w:t>. 2021;180(3):733-742. doi:10.1007/s00431-020-03767-5</w:t>
      </w:r>
    </w:p>
    <w:p w14:paraId="64EF3B78"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lastRenderedPageBreak/>
        <w:t>3.</w:t>
      </w:r>
      <w:r w:rsidRPr="00B26ABE">
        <w:rPr>
          <w:rFonts w:ascii="Times New Roman" w:hAnsi="Times New Roman" w:cs="Times New Roman"/>
          <w:sz w:val="24"/>
        </w:rPr>
        <w:tab/>
        <w:t xml:space="preserve">Wei SQ, Bilodeau-Bertrand M, Liu S, Auger N. The impact of COVID-19 on pregnancy outcomes: a systematic review and meta-analysis. </w:t>
      </w:r>
      <w:r w:rsidRPr="00B26ABE">
        <w:rPr>
          <w:rFonts w:ascii="Times New Roman" w:hAnsi="Times New Roman" w:cs="Times New Roman"/>
          <w:i/>
          <w:iCs/>
          <w:sz w:val="24"/>
        </w:rPr>
        <w:t>CMAJ</w:t>
      </w:r>
      <w:r w:rsidRPr="00B26ABE">
        <w:rPr>
          <w:rFonts w:ascii="Times New Roman" w:hAnsi="Times New Roman" w:cs="Times New Roman"/>
          <w:sz w:val="24"/>
        </w:rPr>
        <w:t>. 2021;193(16</w:t>
      </w:r>
      <w:proofErr w:type="gramStart"/>
      <w:r w:rsidRPr="00B26ABE">
        <w:rPr>
          <w:rFonts w:ascii="Times New Roman" w:hAnsi="Times New Roman" w:cs="Times New Roman"/>
          <w:sz w:val="24"/>
        </w:rPr>
        <w:t>):E</w:t>
      </w:r>
      <w:proofErr w:type="gramEnd"/>
      <w:r w:rsidRPr="00B26ABE">
        <w:rPr>
          <w:rFonts w:ascii="Times New Roman" w:hAnsi="Times New Roman" w:cs="Times New Roman"/>
          <w:sz w:val="24"/>
        </w:rPr>
        <w:t>540-E548. doi:10.1503/cmaj.202604</w:t>
      </w:r>
    </w:p>
    <w:p w14:paraId="48C94C26"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4.</w:t>
      </w:r>
      <w:r w:rsidRPr="00B26ABE">
        <w:rPr>
          <w:rFonts w:ascii="Times New Roman" w:hAnsi="Times New Roman" w:cs="Times New Roman"/>
          <w:sz w:val="24"/>
        </w:rPr>
        <w:tab/>
        <w:t xml:space="preserve">Ali N, </w:t>
      </w:r>
      <w:proofErr w:type="spellStart"/>
      <w:r w:rsidRPr="00B26ABE">
        <w:rPr>
          <w:rFonts w:ascii="Times New Roman" w:hAnsi="Times New Roman" w:cs="Times New Roman"/>
          <w:sz w:val="24"/>
        </w:rPr>
        <w:t>Fariha</w:t>
      </w:r>
      <w:proofErr w:type="spellEnd"/>
      <w:r w:rsidRPr="00B26ABE">
        <w:rPr>
          <w:rFonts w:ascii="Times New Roman" w:hAnsi="Times New Roman" w:cs="Times New Roman"/>
          <w:sz w:val="24"/>
        </w:rPr>
        <w:t xml:space="preserve"> KA, Islam F, et al. Exposure to air pollution and COVID-19 severity: A review of current insights, management, and challenges. </w:t>
      </w:r>
      <w:proofErr w:type="spellStart"/>
      <w:r w:rsidRPr="00B26ABE">
        <w:rPr>
          <w:rFonts w:ascii="Times New Roman" w:hAnsi="Times New Roman" w:cs="Times New Roman"/>
          <w:i/>
          <w:iCs/>
          <w:sz w:val="24"/>
        </w:rPr>
        <w:t>Integr</w:t>
      </w:r>
      <w:proofErr w:type="spellEnd"/>
      <w:r w:rsidRPr="00B26ABE">
        <w:rPr>
          <w:rFonts w:ascii="Times New Roman" w:hAnsi="Times New Roman" w:cs="Times New Roman"/>
          <w:i/>
          <w:iCs/>
          <w:sz w:val="24"/>
        </w:rPr>
        <w:t xml:space="preserve"> Environ Assess </w:t>
      </w:r>
      <w:proofErr w:type="spellStart"/>
      <w:r w:rsidRPr="00B26ABE">
        <w:rPr>
          <w:rFonts w:ascii="Times New Roman" w:hAnsi="Times New Roman" w:cs="Times New Roman"/>
          <w:i/>
          <w:iCs/>
          <w:sz w:val="24"/>
        </w:rPr>
        <w:t>Manag</w:t>
      </w:r>
      <w:proofErr w:type="spellEnd"/>
      <w:r w:rsidRPr="00B26ABE">
        <w:rPr>
          <w:rFonts w:ascii="Times New Roman" w:hAnsi="Times New Roman" w:cs="Times New Roman"/>
          <w:sz w:val="24"/>
        </w:rPr>
        <w:t>. 2021;17(6):1114-1122. doi:10.1002/ieam.4435</w:t>
      </w:r>
    </w:p>
    <w:p w14:paraId="6D7B3AAC"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5.</w:t>
      </w:r>
      <w:r w:rsidRPr="00B26ABE">
        <w:rPr>
          <w:rFonts w:ascii="Times New Roman" w:hAnsi="Times New Roman" w:cs="Times New Roman"/>
          <w:sz w:val="24"/>
        </w:rPr>
        <w:tab/>
      </w:r>
      <w:proofErr w:type="spellStart"/>
      <w:r w:rsidRPr="00B26ABE">
        <w:rPr>
          <w:rFonts w:ascii="Times New Roman" w:hAnsi="Times New Roman" w:cs="Times New Roman"/>
          <w:sz w:val="24"/>
        </w:rPr>
        <w:t>Brauer</w:t>
      </w:r>
      <w:proofErr w:type="spellEnd"/>
      <w:r w:rsidRPr="00B26ABE">
        <w:rPr>
          <w:rFonts w:ascii="Times New Roman" w:hAnsi="Times New Roman" w:cs="Times New Roman"/>
          <w:sz w:val="24"/>
        </w:rPr>
        <w:t xml:space="preserve"> M. How much, how long, what, and where: air pollution exposure assessment for epidemiologic studies of respiratory disease. </w:t>
      </w:r>
      <w:r w:rsidRPr="00B26ABE">
        <w:rPr>
          <w:rFonts w:ascii="Times New Roman" w:hAnsi="Times New Roman" w:cs="Times New Roman"/>
          <w:i/>
          <w:iCs/>
          <w:sz w:val="24"/>
        </w:rPr>
        <w:t xml:space="preserve">Proc Am </w:t>
      </w:r>
      <w:proofErr w:type="spellStart"/>
      <w:r w:rsidRPr="00B26ABE">
        <w:rPr>
          <w:rFonts w:ascii="Times New Roman" w:hAnsi="Times New Roman" w:cs="Times New Roman"/>
          <w:i/>
          <w:iCs/>
          <w:sz w:val="24"/>
        </w:rPr>
        <w:t>Thorac</w:t>
      </w:r>
      <w:proofErr w:type="spellEnd"/>
      <w:r w:rsidRPr="00B26ABE">
        <w:rPr>
          <w:rFonts w:ascii="Times New Roman" w:hAnsi="Times New Roman" w:cs="Times New Roman"/>
          <w:i/>
          <w:iCs/>
          <w:sz w:val="24"/>
        </w:rPr>
        <w:t xml:space="preserve"> Soc</w:t>
      </w:r>
      <w:r w:rsidRPr="00B26ABE">
        <w:rPr>
          <w:rFonts w:ascii="Times New Roman" w:hAnsi="Times New Roman" w:cs="Times New Roman"/>
          <w:sz w:val="24"/>
        </w:rPr>
        <w:t xml:space="preserve">. 2010;7(2):111-115. </w:t>
      </w:r>
      <w:proofErr w:type="gramStart"/>
      <w:r w:rsidRPr="00B26ABE">
        <w:rPr>
          <w:rFonts w:ascii="Times New Roman" w:hAnsi="Times New Roman" w:cs="Times New Roman"/>
          <w:sz w:val="24"/>
        </w:rPr>
        <w:t>doi:10.1513/pats.200908-093RM</w:t>
      </w:r>
      <w:proofErr w:type="gramEnd"/>
    </w:p>
    <w:p w14:paraId="2B86D5C4"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6.</w:t>
      </w:r>
      <w:r w:rsidRPr="00B26ABE">
        <w:rPr>
          <w:rFonts w:ascii="Times New Roman" w:hAnsi="Times New Roman" w:cs="Times New Roman"/>
          <w:sz w:val="24"/>
        </w:rPr>
        <w:tab/>
      </w:r>
      <w:proofErr w:type="spellStart"/>
      <w:r w:rsidRPr="00B26ABE">
        <w:rPr>
          <w:rFonts w:ascii="Times New Roman" w:hAnsi="Times New Roman" w:cs="Times New Roman"/>
          <w:sz w:val="24"/>
        </w:rPr>
        <w:t>Lelieveld</w:t>
      </w:r>
      <w:proofErr w:type="spellEnd"/>
      <w:r w:rsidRPr="00B26ABE">
        <w:rPr>
          <w:rFonts w:ascii="Times New Roman" w:hAnsi="Times New Roman" w:cs="Times New Roman"/>
          <w:sz w:val="24"/>
        </w:rPr>
        <w:t xml:space="preserve"> J, Evans JS, </w:t>
      </w:r>
      <w:proofErr w:type="spellStart"/>
      <w:r w:rsidRPr="00B26ABE">
        <w:rPr>
          <w:rFonts w:ascii="Times New Roman" w:hAnsi="Times New Roman" w:cs="Times New Roman"/>
          <w:sz w:val="24"/>
        </w:rPr>
        <w:t>Fnais</w:t>
      </w:r>
      <w:proofErr w:type="spellEnd"/>
      <w:r w:rsidRPr="00B26ABE">
        <w:rPr>
          <w:rFonts w:ascii="Times New Roman" w:hAnsi="Times New Roman" w:cs="Times New Roman"/>
          <w:sz w:val="24"/>
        </w:rPr>
        <w:t xml:space="preserve"> M, </w:t>
      </w:r>
      <w:proofErr w:type="spellStart"/>
      <w:r w:rsidRPr="00B26ABE">
        <w:rPr>
          <w:rFonts w:ascii="Times New Roman" w:hAnsi="Times New Roman" w:cs="Times New Roman"/>
          <w:sz w:val="24"/>
        </w:rPr>
        <w:t>Giannadaki</w:t>
      </w:r>
      <w:proofErr w:type="spellEnd"/>
      <w:r w:rsidRPr="00B26ABE">
        <w:rPr>
          <w:rFonts w:ascii="Times New Roman" w:hAnsi="Times New Roman" w:cs="Times New Roman"/>
          <w:sz w:val="24"/>
        </w:rPr>
        <w:t xml:space="preserve"> D, </w:t>
      </w:r>
      <w:proofErr w:type="spellStart"/>
      <w:r w:rsidRPr="00B26ABE">
        <w:rPr>
          <w:rFonts w:ascii="Times New Roman" w:hAnsi="Times New Roman" w:cs="Times New Roman"/>
          <w:sz w:val="24"/>
        </w:rPr>
        <w:t>Pozzer</w:t>
      </w:r>
      <w:proofErr w:type="spellEnd"/>
      <w:r w:rsidRPr="00B26ABE">
        <w:rPr>
          <w:rFonts w:ascii="Times New Roman" w:hAnsi="Times New Roman" w:cs="Times New Roman"/>
          <w:sz w:val="24"/>
        </w:rPr>
        <w:t xml:space="preserve"> A. The contribution of outdoor air pollution sources to premature mortality on a global scale. </w:t>
      </w:r>
      <w:r w:rsidRPr="00B26ABE">
        <w:rPr>
          <w:rFonts w:ascii="Times New Roman" w:hAnsi="Times New Roman" w:cs="Times New Roman"/>
          <w:i/>
          <w:iCs/>
          <w:sz w:val="24"/>
        </w:rPr>
        <w:t>Nature</w:t>
      </w:r>
      <w:r w:rsidRPr="00B26ABE">
        <w:rPr>
          <w:rFonts w:ascii="Times New Roman" w:hAnsi="Times New Roman" w:cs="Times New Roman"/>
          <w:sz w:val="24"/>
        </w:rPr>
        <w:t>. 2015;525(7569):367-371. doi:10.1038/nature15371</w:t>
      </w:r>
    </w:p>
    <w:p w14:paraId="6EC38EA7"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7.</w:t>
      </w:r>
      <w:r w:rsidRPr="00B26ABE">
        <w:rPr>
          <w:rFonts w:ascii="Times New Roman" w:hAnsi="Times New Roman" w:cs="Times New Roman"/>
          <w:sz w:val="24"/>
        </w:rPr>
        <w:tab/>
      </w:r>
      <w:proofErr w:type="spellStart"/>
      <w:r w:rsidRPr="00B26ABE">
        <w:rPr>
          <w:rFonts w:ascii="Times New Roman" w:hAnsi="Times New Roman" w:cs="Times New Roman"/>
          <w:sz w:val="24"/>
        </w:rPr>
        <w:t>Latza</w:t>
      </w:r>
      <w:proofErr w:type="spellEnd"/>
      <w:r w:rsidRPr="00B26ABE">
        <w:rPr>
          <w:rFonts w:ascii="Times New Roman" w:hAnsi="Times New Roman" w:cs="Times New Roman"/>
          <w:sz w:val="24"/>
        </w:rPr>
        <w:t xml:space="preserve"> U, Gerdes S, Baur X. Effects of nitrogen dioxide on human health: systematic review of experimental and epidemiological studies conducted between 2002 and 2006. </w:t>
      </w:r>
      <w:r w:rsidRPr="00B26ABE">
        <w:rPr>
          <w:rFonts w:ascii="Times New Roman" w:hAnsi="Times New Roman" w:cs="Times New Roman"/>
          <w:i/>
          <w:iCs/>
          <w:sz w:val="24"/>
        </w:rPr>
        <w:t xml:space="preserve">Int J </w:t>
      </w:r>
      <w:proofErr w:type="spellStart"/>
      <w:r w:rsidRPr="00B26ABE">
        <w:rPr>
          <w:rFonts w:ascii="Times New Roman" w:hAnsi="Times New Roman" w:cs="Times New Roman"/>
          <w:i/>
          <w:iCs/>
          <w:sz w:val="24"/>
        </w:rPr>
        <w:t>Hyg</w:t>
      </w:r>
      <w:proofErr w:type="spellEnd"/>
      <w:r w:rsidRPr="00B26ABE">
        <w:rPr>
          <w:rFonts w:ascii="Times New Roman" w:hAnsi="Times New Roman" w:cs="Times New Roman"/>
          <w:i/>
          <w:iCs/>
          <w:sz w:val="24"/>
        </w:rPr>
        <w:t xml:space="preserve"> Environ Health</w:t>
      </w:r>
      <w:r w:rsidRPr="00B26ABE">
        <w:rPr>
          <w:rFonts w:ascii="Times New Roman" w:hAnsi="Times New Roman" w:cs="Times New Roman"/>
          <w:sz w:val="24"/>
        </w:rPr>
        <w:t xml:space="preserve">. 2009;212(3):271-287. </w:t>
      </w:r>
      <w:proofErr w:type="gramStart"/>
      <w:r w:rsidRPr="00B26ABE">
        <w:rPr>
          <w:rFonts w:ascii="Times New Roman" w:hAnsi="Times New Roman" w:cs="Times New Roman"/>
          <w:sz w:val="24"/>
        </w:rPr>
        <w:t>doi:10.1016/j.ijheh</w:t>
      </w:r>
      <w:proofErr w:type="gramEnd"/>
      <w:r w:rsidRPr="00B26ABE">
        <w:rPr>
          <w:rFonts w:ascii="Times New Roman" w:hAnsi="Times New Roman" w:cs="Times New Roman"/>
          <w:sz w:val="24"/>
        </w:rPr>
        <w:t>.2008.06.003</w:t>
      </w:r>
    </w:p>
    <w:p w14:paraId="5F447D53"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8.</w:t>
      </w:r>
      <w:r w:rsidRPr="00B26ABE">
        <w:rPr>
          <w:rFonts w:ascii="Times New Roman" w:hAnsi="Times New Roman" w:cs="Times New Roman"/>
          <w:sz w:val="24"/>
        </w:rPr>
        <w:tab/>
        <w:t xml:space="preserve">Mondal S, </w:t>
      </w:r>
      <w:proofErr w:type="spellStart"/>
      <w:r w:rsidRPr="00B26ABE">
        <w:rPr>
          <w:rFonts w:ascii="Times New Roman" w:hAnsi="Times New Roman" w:cs="Times New Roman"/>
          <w:sz w:val="24"/>
        </w:rPr>
        <w:t>Chaipitakporn</w:t>
      </w:r>
      <w:proofErr w:type="spellEnd"/>
      <w:r w:rsidRPr="00B26ABE">
        <w:rPr>
          <w:rFonts w:ascii="Times New Roman" w:hAnsi="Times New Roman" w:cs="Times New Roman"/>
          <w:sz w:val="24"/>
        </w:rPr>
        <w:t xml:space="preserve"> C, Kumar V, et al. COVID-19 in New York state: Effects of demographics and air quality on infection and fatality. </w:t>
      </w:r>
      <w:r w:rsidRPr="00B26ABE">
        <w:rPr>
          <w:rFonts w:ascii="Times New Roman" w:hAnsi="Times New Roman" w:cs="Times New Roman"/>
          <w:i/>
          <w:iCs/>
          <w:sz w:val="24"/>
        </w:rPr>
        <w:t>Sci Total Environ</w:t>
      </w:r>
      <w:r w:rsidRPr="00B26ABE">
        <w:rPr>
          <w:rFonts w:ascii="Times New Roman" w:hAnsi="Times New Roman" w:cs="Times New Roman"/>
          <w:sz w:val="24"/>
        </w:rPr>
        <w:t xml:space="preserve">. 2022;807(Pt 1):150536. </w:t>
      </w:r>
      <w:proofErr w:type="gramStart"/>
      <w:r w:rsidRPr="00B26ABE">
        <w:rPr>
          <w:rFonts w:ascii="Times New Roman" w:hAnsi="Times New Roman" w:cs="Times New Roman"/>
          <w:sz w:val="24"/>
        </w:rPr>
        <w:t>doi:10.1016/j.scitotenv</w:t>
      </w:r>
      <w:proofErr w:type="gramEnd"/>
      <w:r w:rsidRPr="00B26ABE">
        <w:rPr>
          <w:rFonts w:ascii="Times New Roman" w:hAnsi="Times New Roman" w:cs="Times New Roman"/>
          <w:sz w:val="24"/>
        </w:rPr>
        <w:t>.2021.150536</w:t>
      </w:r>
    </w:p>
    <w:p w14:paraId="6188BF47"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9.</w:t>
      </w:r>
      <w:r w:rsidRPr="00B26ABE">
        <w:rPr>
          <w:rFonts w:ascii="Times New Roman" w:hAnsi="Times New Roman" w:cs="Times New Roman"/>
          <w:sz w:val="24"/>
        </w:rPr>
        <w:tab/>
        <w:t xml:space="preserve">Bowe B, </w:t>
      </w:r>
      <w:proofErr w:type="spellStart"/>
      <w:r w:rsidRPr="00B26ABE">
        <w:rPr>
          <w:rFonts w:ascii="Times New Roman" w:hAnsi="Times New Roman" w:cs="Times New Roman"/>
          <w:sz w:val="24"/>
        </w:rPr>
        <w:t>Xie</w:t>
      </w:r>
      <w:proofErr w:type="spellEnd"/>
      <w:r w:rsidRPr="00B26ABE">
        <w:rPr>
          <w:rFonts w:ascii="Times New Roman" w:hAnsi="Times New Roman" w:cs="Times New Roman"/>
          <w:sz w:val="24"/>
        </w:rPr>
        <w:t xml:space="preserve"> Y, Gibson AK, et al. Ambient fine particulate matter air pollution and the risk of hospitalization among COVID-19 positive individuals: Cohort study. </w:t>
      </w:r>
      <w:r w:rsidRPr="00B26ABE">
        <w:rPr>
          <w:rFonts w:ascii="Times New Roman" w:hAnsi="Times New Roman" w:cs="Times New Roman"/>
          <w:i/>
          <w:iCs/>
          <w:sz w:val="24"/>
        </w:rPr>
        <w:t>Environ Int</w:t>
      </w:r>
      <w:r w:rsidRPr="00B26ABE">
        <w:rPr>
          <w:rFonts w:ascii="Times New Roman" w:hAnsi="Times New Roman" w:cs="Times New Roman"/>
          <w:sz w:val="24"/>
        </w:rPr>
        <w:t xml:space="preserve">. </w:t>
      </w:r>
      <w:proofErr w:type="gramStart"/>
      <w:r w:rsidRPr="00B26ABE">
        <w:rPr>
          <w:rFonts w:ascii="Times New Roman" w:hAnsi="Times New Roman" w:cs="Times New Roman"/>
          <w:sz w:val="24"/>
        </w:rPr>
        <w:t>2021;154:106564</w:t>
      </w:r>
      <w:proofErr w:type="gramEnd"/>
      <w:r w:rsidRPr="00B26ABE">
        <w:rPr>
          <w:rFonts w:ascii="Times New Roman" w:hAnsi="Times New Roman" w:cs="Times New Roman"/>
          <w:sz w:val="24"/>
        </w:rPr>
        <w:t xml:space="preserve">. </w:t>
      </w:r>
      <w:proofErr w:type="gramStart"/>
      <w:r w:rsidRPr="00B26ABE">
        <w:rPr>
          <w:rFonts w:ascii="Times New Roman" w:hAnsi="Times New Roman" w:cs="Times New Roman"/>
          <w:sz w:val="24"/>
        </w:rPr>
        <w:t>doi:10.1016/j.envint</w:t>
      </w:r>
      <w:proofErr w:type="gramEnd"/>
      <w:r w:rsidRPr="00B26ABE">
        <w:rPr>
          <w:rFonts w:ascii="Times New Roman" w:hAnsi="Times New Roman" w:cs="Times New Roman"/>
          <w:sz w:val="24"/>
        </w:rPr>
        <w:t>.2021.106564</w:t>
      </w:r>
    </w:p>
    <w:p w14:paraId="561EF6BC"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10.</w:t>
      </w:r>
      <w:r w:rsidRPr="00B26ABE">
        <w:rPr>
          <w:rFonts w:ascii="Times New Roman" w:hAnsi="Times New Roman" w:cs="Times New Roman"/>
          <w:sz w:val="24"/>
        </w:rPr>
        <w:tab/>
        <w:t xml:space="preserve">Mendy A, Wu X, Keller JL, et al. Air pollution and the pandemic: Long-term PM2.5 exposure and disease severity in COVID-19 patients. </w:t>
      </w:r>
      <w:r w:rsidRPr="00B26ABE">
        <w:rPr>
          <w:rFonts w:ascii="Times New Roman" w:hAnsi="Times New Roman" w:cs="Times New Roman"/>
          <w:i/>
          <w:iCs/>
          <w:sz w:val="24"/>
        </w:rPr>
        <w:t>Respirology</w:t>
      </w:r>
      <w:r w:rsidRPr="00B26ABE">
        <w:rPr>
          <w:rFonts w:ascii="Times New Roman" w:hAnsi="Times New Roman" w:cs="Times New Roman"/>
          <w:sz w:val="24"/>
        </w:rPr>
        <w:t>. 2021;26(12):1181-1187. doi:10.1111/resp.14140</w:t>
      </w:r>
    </w:p>
    <w:p w14:paraId="7CEC725E"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11.</w:t>
      </w:r>
      <w:r w:rsidRPr="00B26ABE">
        <w:rPr>
          <w:rFonts w:ascii="Times New Roman" w:hAnsi="Times New Roman" w:cs="Times New Roman"/>
          <w:sz w:val="24"/>
        </w:rPr>
        <w:tab/>
      </w:r>
      <w:proofErr w:type="spellStart"/>
      <w:r w:rsidRPr="00B26ABE">
        <w:rPr>
          <w:rFonts w:ascii="Times New Roman" w:hAnsi="Times New Roman" w:cs="Times New Roman"/>
          <w:sz w:val="24"/>
        </w:rPr>
        <w:t>Sidell</w:t>
      </w:r>
      <w:proofErr w:type="spellEnd"/>
      <w:r w:rsidRPr="00B26ABE">
        <w:rPr>
          <w:rFonts w:ascii="Times New Roman" w:hAnsi="Times New Roman" w:cs="Times New Roman"/>
          <w:sz w:val="24"/>
        </w:rPr>
        <w:t xml:space="preserve"> MA, Chen Z, Huang BZ, et al. Ambient air pollution and COVID-19 incidence during four 2020-2021 case surges. </w:t>
      </w:r>
      <w:r w:rsidRPr="00B26ABE">
        <w:rPr>
          <w:rFonts w:ascii="Times New Roman" w:hAnsi="Times New Roman" w:cs="Times New Roman"/>
          <w:i/>
          <w:iCs/>
          <w:sz w:val="24"/>
        </w:rPr>
        <w:t>Environ Res</w:t>
      </w:r>
      <w:r w:rsidRPr="00B26ABE">
        <w:rPr>
          <w:rFonts w:ascii="Times New Roman" w:hAnsi="Times New Roman" w:cs="Times New Roman"/>
          <w:sz w:val="24"/>
        </w:rPr>
        <w:t xml:space="preserve">. </w:t>
      </w:r>
      <w:proofErr w:type="gramStart"/>
      <w:r w:rsidRPr="00B26ABE">
        <w:rPr>
          <w:rFonts w:ascii="Times New Roman" w:hAnsi="Times New Roman" w:cs="Times New Roman"/>
          <w:sz w:val="24"/>
        </w:rPr>
        <w:t>2022;208:112758</w:t>
      </w:r>
      <w:proofErr w:type="gramEnd"/>
      <w:r w:rsidRPr="00B26ABE">
        <w:rPr>
          <w:rFonts w:ascii="Times New Roman" w:hAnsi="Times New Roman" w:cs="Times New Roman"/>
          <w:sz w:val="24"/>
        </w:rPr>
        <w:t xml:space="preserve">. </w:t>
      </w:r>
      <w:proofErr w:type="gramStart"/>
      <w:r w:rsidRPr="00B26ABE">
        <w:rPr>
          <w:rFonts w:ascii="Times New Roman" w:hAnsi="Times New Roman" w:cs="Times New Roman"/>
          <w:sz w:val="24"/>
        </w:rPr>
        <w:t>doi:10.1016/j.envres</w:t>
      </w:r>
      <w:proofErr w:type="gramEnd"/>
      <w:r w:rsidRPr="00B26ABE">
        <w:rPr>
          <w:rFonts w:ascii="Times New Roman" w:hAnsi="Times New Roman" w:cs="Times New Roman"/>
          <w:sz w:val="24"/>
        </w:rPr>
        <w:t>.2022.112758</w:t>
      </w:r>
    </w:p>
    <w:p w14:paraId="15EC8BD1"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12.</w:t>
      </w:r>
      <w:r w:rsidRPr="00B26ABE">
        <w:rPr>
          <w:rFonts w:ascii="Times New Roman" w:hAnsi="Times New Roman" w:cs="Times New Roman"/>
          <w:sz w:val="24"/>
        </w:rPr>
        <w:tab/>
        <w:t xml:space="preserve">Dales R, Blanco-Vidal C, Romero-Meza R, Schoen S, </w:t>
      </w:r>
      <w:proofErr w:type="spellStart"/>
      <w:r w:rsidRPr="00B26ABE">
        <w:rPr>
          <w:rFonts w:ascii="Times New Roman" w:hAnsi="Times New Roman" w:cs="Times New Roman"/>
          <w:sz w:val="24"/>
        </w:rPr>
        <w:t>Lukina</w:t>
      </w:r>
      <w:proofErr w:type="spellEnd"/>
      <w:r w:rsidRPr="00B26ABE">
        <w:rPr>
          <w:rFonts w:ascii="Times New Roman" w:hAnsi="Times New Roman" w:cs="Times New Roman"/>
          <w:sz w:val="24"/>
        </w:rPr>
        <w:t xml:space="preserve"> A, </w:t>
      </w:r>
      <w:proofErr w:type="spellStart"/>
      <w:r w:rsidRPr="00B26ABE">
        <w:rPr>
          <w:rFonts w:ascii="Times New Roman" w:hAnsi="Times New Roman" w:cs="Times New Roman"/>
          <w:sz w:val="24"/>
        </w:rPr>
        <w:t>Cakmak</w:t>
      </w:r>
      <w:proofErr w:type="spellEnd"/>
      <w:r w:rsidRPr="00B26ABE">
        <w:rPr>
          <w:rFonts w:ascii="Times New Roman" w:hAnsi="Times New Roman" w:cs="Times New Roman"/>
          <w:sz w:val="24"/>
        </w:rPr>
        <w:t xml:space="preserve"> S. The association between air pollution and COVID-19 related mortality in Santiago, Chile: A daily time series analysis. </w:t>
      </w:r>
      <w:r w:rsidRPr="00B26ABE">
        <w:rPr>
          <w:rFonts w:ascii="Times New Roman" w:hAnsi="Times New Roman" w:cs="Times New Roman"/>
          <w:i/>
          <w:iCs/>
          <w:sz w:val="24"/>
        </w:rPr>
        <w:t>Environ Res</w:t>
      </w:r>
      <w:r w:rsidRPr="00B26ABE">
        <w:rPr>
          <w:rFonts w:ascii="Times New Roman" w:hAnsi="Times New Roman" w:cs="Times New Roman"/>
          <w:sz w:val="24"/>
        </w:rPr>
        <w:t xml:space="preserve">. </w:t>
      </w:r>
      <w:proofErr w:type="gramStart"/>
      <w:r w:rsidRPr="00B26ABE">
        <w:rPr>
          <w:rFonts w:ascii="Times New Roman" w:hAnsi="Times New Roman" w:cs="Times New Roman"/>
          <w:sz w:val="24"/>
        </w:rPr>
        <w:t>2021;198:111284</w:t>
      </w:r>
      <w:proofErr w:type="gramEnd"/>
      <w:r w:rsidRPr="00B26ABE">
        <w:rPr>
          <w:rFonts w:ascii="Times New Roman" w:hAnsi="Times New Roman" w:cs="Times New Roman"/>
          <w:sz w:val="24"/>
        </w:rPr>
        <w:t xml:space="preserve">. </w:t>
      </w:r>
      <w:proofErr w:type="gramStart"/>
      <w:r w:rsidRPr="00B26ABE">
        <w:rPr>
          <w:rFonts w:ascii="Times New Roman" w:hAnsi="Times New Roman" w:cs="Times New Roman"/>
          <w:sz w:val="24"/>
        </w:rPr>
        <w:t>doi:10.1016/j.envres</w:t>
      </w:r>
      <w:proofErr w:type="gramEnd"/>
      <w:r w:rsidRPr="00B26ABE">
        <w:rPr>
          <w:rFonts w:ascii="Times New Roman" w:hAnsi="Times New Roman" w:cs="Times New Roman"/>
          <w:sz w:val="24"/>
        </w:rPr>
        <w:t>.2021.111284</w:t>
      </w:r>
    </w:p>
    <w:p w14:paraId="2EBC9A95"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13.</w:t>
      </w:r>
      <w:r w:rsidRPr="00B26ABE">
        <w:rPr>
          <w:rFonts w:ascii="Times New Roman" w:hAnsi="Times New Roman" w:cs="Times New Roman"/>
          <w:sz w:val="24"/>
        </w:rPr>
        <w:tab/>
        <w:t xml:space="preserve">Li H, Xu XL, Dai DW, Huang ZY, Ma Z, Guan YJ. Air pollution and temperature are associated with increased COVID-19 incidence: A time series study. </w:t>
      </w:r>
      <w:r w:rsidRPr="00B26ABE">
        <w:rPr>
          <w:rFonts w:ascii="Times New Roman" w:hAnsi="Times New Roman" w:cs="Times New Roman"/>
          <w:i/>
          <w:iCs/>
          <w:sz w:val="24"/>
        </w:rPr>
        <w:t>Int J Infect Dis</w:t>
      </w:r>
      <w:r w:rsidRPr="00B26ABE">
        <w:rPr>
          <w:rFonts w:ascii="Times New Roman" w:hAnsi="Times New Roman" w:cs="Times New Roman"/>
          <w:sz w:val="24"/>
        </w:rPr>
        <w:t xml:space="preserve">. </w:t>
      </w:r>
      <w:proofErr w:type="gramStart"/>
      <w:r w:rsidRPr="00B26ABE">
        <w:rPr>
          <w:rFonts w:ascii="Times New Roman" w:hAnsi="Times New Roman" w:cs="Times New Roman"/>
          <w:sz w:val="24"/>
        </w:rPr>
        <w:t>2020;97:278</w:t>
      </w:r>
      <w:proofErr w:type="gramEnd"/>
      <w:r w:rsidRPr="00B26ABE">
        <w:rPr>
          <w:rFonts w:ascii="Times New Roman" w:hAnsi="Times New Roman" w:cs="Times New Roman"/>
          <w:sz w:val="24"/>
        </w:rPr>
        <w:t xml:space="preserve">-282. </w:t>
      </w:r>
      <w:proofErr w:type="gramStart"/>
      <w:r w:rsidRPr="00B26ABE">
        <w:rPr>
          <w:rFonts w:ascii="Times New Roman" w:hAnsi="Times New Roman" w:cs="Times New Roman"/>
          <w:sz w:val="24"/>
        </w:rPr>
        <w:t>doi:10.1016/j.ijid</w:t>
      </w:r>
      <w:proofErr w:type="gramEnd"/>
      <w:r w:rsidRPr="00B26ABE">
        <w:rPr>
          <w:rFonts w:ascii="Times New Roman" w:hAnsi="Times New Roman" w:cs="Times New Roman"/>
          <w:sz w:val="24"/>
        </w:rPr>
        <w:t>.2020.05.076</w:t>
      </w:r>
    </w:p>
    <w:p w14:paraId="14830ED0"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14.</w:t>
      </w:r>
      <w:r w:rsidRPr="00B26ABE">
        <w:rPr>
          <w:rFonts w:ascii="Times New Roman" w:hAnsi="Times New Roman" w:cs="Times New Roman"/>
          <w:sz w:val="24"/>
        </w:rPr>
        <w:tab/>
        <w:t xml:space="preserve">Prinz AL, Richter DJ. Long-term exposure to fine particulate matter air pollution: An ecological study of its effect on COVID-19 cases and fatality in Germany. </w:t>
      </w:r>
      <w:r w:rsidRPr="00B26ABE">
        <w:rPr>
          <w:rFonts w:ascii="Times New Roman" w:hAnsi="Times New Roman" w:cs="Times New Roman"/>
          <w:i/>
          <w:iCs/>
          <w:sz w:val="24"/>
        </w:rPr>
        <w:t>Environ Res</w:t>
      </w:r>
      <w:r w:rsidRPr="00B26ABE">
        <w:rPr>
          <w:rFonts w:ascii="Times New Roman" w:hAnsi="Times New Roman" w:cs="Times New Roman"/>
          <w:sz w:val="24"/>
        </w:rPr>
        <w:t xml:space="preserve">. 2022;204(Pt A):111948. </w:t>
      </w:r>
      <w:proofErr w:type="gramStart"/>
      <w:r w:rsidRPr="00B26ABE">
        <w:rPr>
          <w:rFonts w:ascii="Times New Roman" w:hAnsi="Times New Roman" w:cs="Times New Roman"/>
          <w:sz w:val="24"/>
        </w:rPr>
        <w:t>doi:10.1016/j.envres</w:t>
      </w:r>
      <w:proofErr w:type="gramEnd"/>
      <w:r w:rsidRPr="00B26ABE">
        <w:rPr>
          <w:rFonts w:ascii="Times New Roman" w:hAnsi="Times New Roman" w:cs="Times New Roman"/>
          <w:sz w:val="24"/>
        </w:rPr>
        <w:t>.2021.111948</w:t>
      </w:r>
    </w:p>
    <w:p w14:paraId="02DBFC63"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lastRenderedPageBreak/>
        <w:t>15.</w:t>
      </w:r>
      <w:r w:rsidRPr="00B26ABE">
        <w:rPr>
          <w:rFonts w:ascii="Times New Roman" w:hAnsi="Times New Roman" w:cs="Times New Roman"/>
          <w:sz w:val="24"/>
        </w:rPr>
        <w:tab/>
        <w:t xml:space="preserve">Sahoo MM. Significance between air pollutants, meteorological factors, and COVID-19 infections: probable </w:t>
      </w:r>
      <w:proofErr w:type="gramStart"/>
      <w:r w:rsidRPr="00B26ABE">
        <w:rPr>
          <w:rFonts w:ascii="Times New Roman" w:hAnsi="Times New Roman" w:cs="Times New Roman"/>
          <w:sz w:val="24"/>
        </w:rPr>
        <w:t>evidences</w:t>
      </w:r>
      <w:proofErr w:type="gramEnd"/>
      <w:r w:rsidRPr="00B26ABE">
        <w:rPr>
          <w:rFonts w:ascii="Times New Roman" w:hAnsi="Times New Roman" w:cs="Times New Roman"/>
          <w:sz w:val="24"/>
        </w:rPr>
        <w:t xml:space="preserve"> in India. </w:t>
      </w:r>
      <w:r w:rsidRPr="00B26ABE">
        <w:rPr>
          <w:rFonts w:ascii="Times New Roman" w:hAnsi="Times New Roman" w:cs="Times New Roman"/>
          <w:i/>
          <w:iCs/>
          <w:sz w:val="24"/>
        </w:rPr>
        <w:t xml:space="preserve">Environ Sci </w:t>
      </w:r>
      <w:proofErr w:type="spellStart"/>
      <w:r w:rsidRPr="00B26ABE">
        <w:rPr>
          <w:rFonts w:ascii="Times New Roman" w:hAnsi="Times New Roman" w:cs="Times New Roman"/>
          <w:i/>
          <w:iCs/>
          <w:sz w:val="24"/>
        </w:rPr>
        <w:t>Pollut</w:t>
      </w:r>
      <w:proofErr w:type="spellEnd"/>
      <w:r w:rsidRPr="00B26ABE">
        <w:rPr>
          <w:rFonts w:ascii="Times New Roman" w:hAnsi="Times New Roman" w:cs="Times New Roman"/>
          <w:i/>
          <w:iCs/>
          <w:sz w:val="24"/>
        </w:rPr>
        <w:t xml:space="preserve"> Res Int</w:t>
      </w:r>
      <w:r w:rsidRPr="00B26ABE">
        <w:rPr>
          <w:rFonts w:ascii="Times New Roman" w:hAnsi="Times New Roman" w:cs="Times New Roman"/>
          <w:sz w:val="24"/>
        </w:rPr>
        <w:t>. 2021;28(30):40474-40495. doi:10.1007/s11356-021-12709-z</w:t>
      </w:r>
    </w:p>
    <w:p w14:paraId="4C6E05A1"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16.</w:t>
      </w:r>
      <w:r w:rsidRPr="00B26ABE">
        <w:rPr>
          <w:rFonts w:ascii="Times New Roman" w:hAnsi="Times New Roman" w:cs="Times New Roman"/>
          <w:sz w:val="24"/>
        </w:rPr>
        <w:tab/>
      </w:r>
      <w:proofErr w:type="spellStart"/>
      <w:r w:rsidRPr="00B26ABE">
        <w:rPr>
          <w:rFonts w:ascii="Times New Roman" w:hAnsi="Times New Roman" w:cs="Times New Roman"/>
          <w:sz w:val="24"/>
        </w:rPr>
        <w:t>Grippo</w:t>
      </w:r>
      <w:proofErr w:type="spellEnd"/>
      <w:r w:rsidRPr="00B26ABE">
        <w:rPr>
          <w:rFonts w:ascii="Times New Roman" w:hAnsi="Times New Roman" w:cs="Times New Roman"/>
          <w:sz w:val="24"/>
        </w:rPr>
        <w:t xml:space="preserve"> A, Zhang J, Chu L, et al. Air pollution exposure during pregnancy and spontaneous abortion and stillbirth. </w:t>
      </w:r>
      <w:r w:rsidRPr="00B26ABE">
        <w:rPr>
          <w:rFonts w:ascii="Times New Roman" w:hAnsi="Times New Roman" w:cs="Times New Roman"/>
          <w:i/>
          <w:iCs/>
          <w:sz w:val="24"/>
        </w:rPr>
        <w:t>Rev Environ Health</w:t>
      </w:r>
      <w:r w:rsidRPr="00B26ABE">
        <w:rPr>
          <w:rFonts w:ascii="Times New Roman" w:hAnsi="Times New Roman" w:cs="Times New Roman"/>
          <w:sz w:val="24"/>
        </w:rPr>
        <w:t>. 2018;33(3):247-264. doi:10.1515/reveh-2017-0033</w:t>
      </w:r>
    </w:p>
    <w:p w14:paraId="33DADD04"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17.</w:t>
      </w:r>
      <w:r w:rsidRPr="00B26ABE">
        <w:rPr>
          <w:rFonts w:ascii="Times New Roman" w:hAnsi="Times New Roman" w:cs="Times New Roman"/>
          <w:sz w:val="24"/>
        </w:rPr>
        <w:tab/>
      </w:r>
      <w:proofErr w:type="spellStart"/>
      <w:r w:rsidRPr="00B26ABE">
        <w:rPr>
          <w:rFonts w:ascii="Times New Roman" w:hAnsi="Times New Roman" w:cs="Times New Roman"/>
          <w:sz w:val="24"/>
        </w:rPr>
        <w:t>Klepac</w:t>
      </w:r>
      <w:proofErr w:type="spellEnd"/>
      <w:r w:rsidRPr="00B26ABE">
        <w:rPr>
          <w:rFonts w:ascii="Times New Roman" w:hAnsi="Times New Roman" w:cs="Times New Roman"/>
          <w:sz w:val="24"/>
        </w:rPr>
        <w:t xml:space="preserve"> P, Locatelli I, </w:t>
      </w:r>
      <w:proofErr w:type="spellStart"/>
      <w:r w:rsidRPr="00B26ABE">
        <w:rPr>
          <w:rFonts w:ascii="Times New Roman" w:hAnsi="Times New Roman" w:cs="Times New Roman"/>
          <w:sz w:val="24"/>
        </w:rPr>
        <w:t>Korošec</w:t>
      </w:r>
      <w:proofErr w:type="spellEnd"/>
      <w:r w:rsidRPr="00B26ABE">
        <w:rPr>
          <w:rFonts w:ascii="Times New Roman" w:hAnsi="Times New Roman" w:cs="Times New Roman"/>
          <w:sz w:val="24"/>
        </w:rPr>
        <w:t xml:space="preserve"> S, </w:t>
      </w:r>
      <w:proofErr w:type="spellStart"/>
      <w:r w:rsidRPr="00B26ABE">
        <w:rPr>
          <w:rFonts w:ascii="Times New Roman" w:hAnsi="Times New Roman" w:cs="Times New Roman"/>
          <w:sz w:val="24"/>
        </w:rPr>
        <w:t>Künzli</w:t>
      </w:r>
      <w:proofErr w:type="spellEnd"/>
      <w:r w:rsidRPr="00B26ABE">
        <w:rPr>
          <w:rFonts w:ascii="Times New Roman" w:hAnsi="Times New Roman" w:cs="Times New Roman"/>
          <w:sz w:val="24"/>
        </w:rPr>
        <w:t xml:space="preserve"> N, </w:t>
      </w:r>
      <w:proofErr w:type="spellStart"/>
      <w:r w:rsidRPr="00B26ABE">
        <w:rPr>
          <w:rFonts w:ascii="Times New Roman" w:hAnsi="Times New Roman" w:cs="Times New Roman"/>
          <w:sz w:val="24"/>
        </w:rPr>
        <w:t>Kukec</w:t>
      </w:r>
      <w:proofErr w:type="spellEnd"/>
      <w:r w:rsidRPr="00B26ABE">
        <w:rPr>
          <w:rFonts w:ascii="Times New Roman" w:hAnsi="Times New Roman" w:cs="Times New Roman"/>
          <w:sz w:val="24"/>
        </w:rPr>
        <w:t xml:space="preserve"> A. Ambient air pollution and pregnancy outcomes: A comprehensive review and identification of environmental public health challenges. </w:t>
      </w:r>
      <w:r w:rsidRPr="00B26ABE">
        <w:rPr>
          <w:rFonts w:ascii="Times New Roman" w:hAnsi="Times New Roman" w:cs="Times New Roman"/>
          <w:i/>
          <w:iCs/>
          <w:sz w:val="24"/>
        </w:rPr>
        <w:t>Environ Res</w:t>
      </w:r>
      <w:r w:rsidRPr="00B26ABE">
        <w:rPr>
          <w:rFonts w:ascii="Times New Roman" w:hAnsi="Times New Roman" w:cs="Times New Roman"/>
          <w:sz w:val="24"/>
        </w:rPr>
        <w:t xml:space="preserve">. </w:t>
      </w:r>
      <w:proofErr w:type="gramStart"/>
      <w:r w:rsidRPr="00B26ABE">
        <w:rPr>
          <w:rFonts w:ascii="Times New Roman" w:hAnsi="Times New Roman" w:cs="Times New Roman"/>
          <w:sz w:val="24"/>
        </w:rPr>
        <w:t>2018;167:144</w:t>
      </w:r>
      <w:proofErr w:type="gramEnd"/>
      <w:r w:rsidRPr="00B26ABE">
        <w:rPr>
          <w:rFonts w:ascii="Times New Roman" w:hAnsi="Times New Roman" w:cs="Times New Roman"/>
          <w:sz w:val="24"/>
        </w:rPr>
        <w:t xml:space="preserve">-159. </w:t>
      </w:r>
      <w:proofErr w:type="gramStart"/>
      <w:r w:rsidRPr="00B26ABE">
        <w:rPr>
          <w:rFonts w:ascii="Times New Roman" w:hAnsi="Times New Roman" w:cs="Times New Roman"/>
          <w:sz w:val="24"/>
        </w:rPr>
        <w:t>doi:10.1016/j.envres</w:t>
      </w:r>
      <w:proofErr w:type="gramEnd"/>
      <w:r w:rsidRPr="00B26ABE">
        <w:rPr>
          <w:rFonts w:ascii="Times New Roman" w:hAnsi="Times New Roman" w:cs="Times New Roman"/>
          <w:sz w:val="24"/>
        </w:rPr>
        <w:t>.2018.07.008</w:t>
      </w:r>
    </w:p>
    <w:p w14:paraId="6E5D9FAB"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18.</w:t>
      </w:r>
      <w:r w:rsidRPr="00B26ABE">
        <w:rPr>
          <w:rFonts w:ascii="Times New Roman" w:hAnsi="Times New Roman" w:cs="Times New Roman"/>
          <w:sz w:val="24"/>
        </w:rPr>
        <w:tab/>
      </w:r>
      <w:proofErr w:type="spellStart"/>
      <w:r w:rsidRPr="00B26ABE">
        <w:rPr>
          <w:rFonts w:ascii="Times New Roman" w:hAnsi="Times New Roman" w:cs="Times New Roman"/>
          <w:sz w:val="24"/>
        </w:rPr>
        <w:t>Bekkar</w:t>
      </w:r>
      <w:proofErr w:type="spellEnd"/>
      <w:r w:rsidRPr="00B26ABE">
        <w:rPr>
          <w:rFonts w:ascii="Times New Roman" w:hAnsi="Times New Roman" w:cs="Times New Roman"/>
          <w:sz w:val="24"/>
        </w:rPr>
        <w:t xml:space="preserve"> B, Pacheco S, </w:t>
      </w:r>
      <w:proofErr w:type="spellStart"/>
      <w:r w:rsidRPr="00B26ABE">
        <w:rPr>
          <w:rFonts w:ascii="Times New Roman" w:hAnsi="Times New Roman" w:cs="Times New Roman"/>
          <w:sz w:val="24"/>
        </w:rPr>
        <w:t>Basu</w:t>
      </w:r>
      <w:proofErr w:type="spellEnd"/>
      <w:r w:rsidRPr="00B26ABE">
        <w:rPr>
          <w:rFonts w:ascii="Times New Roman" w:hAnsi="Times New Roman" w:cs="Times New Roman"/>
          <w:sz w:val="24"/>
        </w:rPr>
        <w:t xml:space="preserve"> R, DeNicola N. Association of Air Pollution and Heat Exposure </w:t>
      </w:r>
      <w:proofErr w:type="gramStart"/>
      <w:r w:rsidRPr="00B26ABE">
        <w:rPr>
          <w:rFonts w:ascii="Times New Roman" w:hAnsi="Times New Roman" w:cs="Times New Roman"/>
          <w:sz w:val="24"/>
        </w:rPr>
        <w:t>With</w:t>
      </w:r>
      <w:proofErr w:type="gramEnd"/>
      <w:r w:rsidRPr="00B26ABE">
        <w:rPr>
          <w:rFonts w:ascii="Times New Roman" w:hAnsi="Times New Roman" w:cs="Times New Roman"/>
          <w:sz w:val="24"/>
        </w:rPr>
        <w:t xml:space="preserve"> Preterm Birth, Low Birth Weight, and Stillbirth in the US: A Systematic Review. </w:t>
      </w:r>
      <w:r w:rsidRPr="00B26ABE">
        <w:rPr>
          <w:rFonts w:ascii="Times New Roman" w:hAnsi="Times New Roman" w:cs="Times New Roman"/>
          <w:i/>
          <w:iCs/>
          <w:sz w:val="24"/>
        </w:rPr>
        <w:t xml:space="preserve">JAMA </w:t>
      </w:r>
      <w:proofErr w:type="spellStart"/>
      <w:r w:rsidRPr="00B26ABE">
        <w:rPr>
          <w:rFonts w:ascii="Times New Roman" w:hAnsi="Times New Roman" w:cs="Times New Roman"/>
          <w:i/>
          <w:iCs/>
          <w:sz w:val="24"/>
        </w:rPr>
        <w:t>Netw</w:t>
      </w:r>
      <w:proofErr w:type="spellEnd"/>
      <w:r w:rsidRPr="00B26ABE">
        <w:rPr>
          <w:rFonts w:ascii="Times New Roman" w:hAnsi="Times New Roman" w:cs="Times New Roman"/>
          <w:i/>
          <w:iCs/>
          <w:sz w:val="24"/>
        </w:rPr>
        <w:t xml:space="preserve"> Open</w:t>
      </w:r>
      <w:r w:rsidRPr="00B26ABE">
        <w:rPr>
          <w:rFonts w:ascii="Times New Roman" w:hAnsi="Times New Roman" w:cs="Times New Roman"/>
          <w:sz w:val="24"/>
        </w:rPr>
        <w:t>. 2020;3(6</w:t>
      </w:r>
      <w:proofErr w:type="gramStart"/>
      <w:r w:rsidRPr="00B26ABE">
        <w:rPr>
          <w:rFonts w:ascii="Times New Roman" w:hAnsi="Times New Roman" w:cs="Times New Roman"/>
          <w:sz w:val="24"/>
        </w:rPr>
        <w:t>):e</w:t>
      </w:r>
      <w:proofErr w:type="gramEnd"/>
      <w:r w:rsidRPr="00B26ABE">
        <w:rPr>
          <w:rFonts w:ascii="Times New Roman" w:hAnsi="Times New Roman" w:cs="Times New Roman"/>
          <w:sz w:val="24"/>
        </w:rPr>
        <w:t>208243. doi:10.1001/jamanetworkopen.2020.8243</w:t>
      </w:r>
    </w:p>
    <w:p w14:paraId="18C34C53"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19.</w:t>
      </w:r>
      <w:r w:rsidRPr="00B26ABE">
        <w:rPr>
          <w:rFonts w:ascii="Times New Roman" w:hAnsi="Times New Roman" w:cs="Times New Roman"/>
          <w:sz w:val="24"/>
        </w:rPr>
        <w:tab/>
        <w:t xml:space="preserve">Casey JA, </w:t>
      </w:r>
      <w:proofErr w:type="spellStart"/>
      <w:r w:rsidRPr="00B26ABE">
        <w:rPr>
          <w:rFonts w:ascii="Times New Roman" w:hAnsi="Times New Roman" w:cs="Times New Roman"/>
          <w:sz w:val="24"/>
        </w:rPr>
        <w:t>Kioumourtzoglou</w:t>
      </w:r>
      <w:proofErr w:type="spellEnd"/>
      <w:r w:rsidRPr="00B26ABE">
        <w:rPr>
          <w:rFonts w:ascii="Times New Roman" w:hAnsi="Times New Roman" w:cs="Times New Roman"/>
          <w:sz w:val="24"/>
        </w:rPr>
        <w:t xml:space="preserve"> MA, Ogburn EL, et al. Long-Term Fine Particulate Matter Concentrations and Prevalence of Severe Acute Respiratory Syndrome Coronavirus 2: Differential Relationships by Socioeconomic Status Among Pregnant Individuals in New York City. </w:t>
      </w:r>
      <w:r w:rsidRPr="00B26ABE">
        <w:rPr>
          <w:rFonts w:ascii="Times New Roman" w:hAnsi="Times New Roman" w:cs="Times New Roman"/>
          <w:i/>
          <w:iCs/>
          <w:sz w:val="24"/>
        </w:rPr>
        <w:t>American Journal of Epidemiology</w:t>
      </w:r>
      <w:r w:rsidRPr="00B26ABE">
        <w:rPr>
          <w:rFonts w:ascii="Times New Roman" w:hAnsi="Times New Roman" w:cs="Times New Roman"/>
          <w:sz w:val="24"/>
        </w:rPr>
        <w:t xml:space="preserve">. Published online August 2, </w:t>
      </w:r>
      <w:proofErr w:type="gramStart"/>
      <w:r w:rsidRPr="00B26ABE">
        <w:rPr>
          <w:rFonts w:ascii="Times New Roman" w:hAnsi="Times New Roman" w:cs="Times New Roman"/>
          <w:sz w:val="24"/>
        </w:rPr>
        <w:t>2022:kwac</w:t>
      </w:r>
      <w:proofErr w:type="gramEnd"/>
      <w:r w:rsidRPr="00B26ABE">
        <w:rPr>
          <w:rFonts w:ascii="Times New Roman" w:hAnsi="Times New Roman" w:cs="Times New Roman"/>
          <w:sz w:val="24"/>
        </w:rPr>
        <w:t>139. doi:10.1093/</w:t>
      </w:r>
      <w:proofErr w:type="spellStart"/>
      <w:r w:rsidRPr="00B26ABE">
        <w:rPr>
          <w:rFonts w:ascii="Times New Roman" w:hAnsi="Times New Roman" w:cs="Times New Roman"/>
          <w:sz w:val="24"/>
        </w:rPr>
        <w:t>aje</w:t>
      </w:r>
      <w:proofErr w:type="spellEnd"/>
      <w:r w:rsidRPr="00B26ABE">
        <w:rPr>
          <w:rFonts w:ascii="Times New Roman" w:hAnsi="Times New Roman" w:cs="Times New Roman"/>
          <w:sz w:val="24"/>
        </w:rPr>
        <w:t>/kwac139</w:t>
      </w:r>
    </w:p>
    <w:p w14:paraId="1753C088"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20.</w:t>
      </w:r>
      <w:r w:rsidRPr="00B26ABE">
        <w:rPr>
          <w:rFonts w:ascii="Times New Roman" w:hAnsi="Times New Roman" w:cs="Times New Roman"/>
          <w:sz w:val="24"/>
        </w:rPr>
        <w:tab/>
        <w:t xml:space="preserve">Matte TD, Ross Z, </w:t>
      </w:r>
      <w:proofErr w:type="spellStart"/>
      <w:r w:rsidRPr="00B26ABE">
        <w:rPr>
          <w:rFonts w:ascii="Times New Roman" w:hAnsi="Times New Roman" w:cs="Times New Roman"/>
          <w:sz w:val="24"/>
        </w:rPr>
        <w:t>Kheirbek</w:t>
      </w:r>
      <w:proofErr w:type="spellEnd"/>
      <w:r w:rsidRPr="00B26ABE">
        <w:rPr>
          <w:rFonts w:ascii="Times New Roman" w:hAnsi="Times New Roman" w:cs="Times New Roman"/>
          <w:sz w:val="24"/>
        </w:rPr>
        <w:t xml:space="preserve"> I, et al. Monitoring intraurban spatial patterns of multiple combustion air pollutants in New York City: Design and implementation. </w:t>
      </w:r>
      <w:r w:rsidRPr="00B26ABE">
        <w:rPr>
          <w:rFonts w:ascii="Times New Roman" w:hAnsi="Times New Roman" w:cs="Times New Roman"/>
          <w:i/>
          <w:iCs/>
          <w:sz w:val="24"/>
        </w:rPr>
        <w:t>J Expo Sci Environ Epidemiol</w:t>
      </w:r>
      <w:r w:rsidRPr="00B26ABE">
        <w:rPr>
          <w:rFonts w:ascii="Times New Roman" w:hAnsi="Times New Roman" w:cs="Times New Roman"/>
          <w:sz w:val="24"/>
        </w:rPr>
        <w:t>. 2013;23(3):223-231. doi:10.1038/jes.2012.126</w:t>
      </w:r>
    </w:p>
    <w:p w14:paraId="030DD39D" w14:textId="77777777" w:rsidR="00B26ABE" w:rsidRPr="00B26ABE" w:rsidRDefault="00B26ABE" w:rsidP="00B26ABE">
      <w:pPr>
        <w:pStyle w:val="Bibliography"/>
        <w:rPr>
          <w:rFonts w:ascii="Times New Roman" w:hAnsi="Times New Roman" w:cs="Times New Roman"/>
          <w:sz w:val="24"/>
        </w:rPr>
      </w:pPr>
      <w:r w:rsidRPr="00B26ABE">
        <w:rPr>
          <w:rFonts w:ascii="Times New Roman" w:hAnsi="Times New Roman" w:cs="Times New Roman"/>
          <w:sz w:val="24"/>
        </w:rPr>
        <w:t>21.</w:t>
      </w:r>
      <w:r w:rsidRPr="00B26ABE">
        <w:rPr>
          <w:rFonts w:ascii="Times New Roman" w:hAnsi="Times New Roman" w:cs="Times New Roman"/>
          <w:sz w:val="24"/>
        </w:rPr>
        <w:tab/>
      </w:r>
      <w:proofErr w:type="spellStart"/>
      <w:r w:rsidRPr="00B26ABE">
        <w:rPr>
          <w:rFonts w:ascii="Times New Roman" w:hAnsi="Times New Roman" w:cs="Times New Roman"/>
          <w:sz w:val="24"/>
        </w:rPr>
        <w:t>Reif</w:t>
      </w:r>
      <w:proofErr w:type="spellEnd"/>
      <w:r w:rsidRPr="00B26ABE">
        <w:rPr>
          <w:rFonts w:ascii="Times New Roman" w:hAnsi="Times New Roman" w:cs="Times New Roman"/>
          <w:sz w:val="24"/>
        </w:rPr>
        <w:t xml:space="preserve"> DM, Martin MT, Tan SW, et al. Endocrine Profiling and Prioritization of Environmental Chemicals Using </w:t>
      </w:r>
      <w:proofErr w:type="spellStart"/>
      <w:r w:rsidRPr="00B26ABE">
        <w:rPr>
          <w:rFonts w:ascii="Times New Roman" w:hAnsi="Times New Roman" w:cs="Times New Roman"/>
          <w:sz w:val="24"/>
        </w:rPr>
        <w:t>ToxCast</w:t>
      </w:r>
      <w:proofErr w:type="spellEnd"/>
      <w:r w:rsidRPr="00B26ABE">
        <w:rPr>
          <w:rFonts w:ascii="Times New Roman" w:hAnsi="Times New Roman" w:cs="Times New Roman"/>
          <w:sz w:val="24"/>
        </w:rPr>
        <w:t xml:space="preserve"> Data. </w:t>
      </w:r>
      <w:r w:rsidRPr="00B26ABE">
        <w:rPr>
          <w:rFonts w:ascii="Times New Roman" w:hAnsi="Times New Roman" w:cs="Times New Roman"/>
          <w:i/>
          <w:iCs/>
          <w:sz w:val="24"/>
        </w:rPr>
        <w:t>Environmental Health Perspectives</w:t>
      </w:r>
      <w:r w:rsidRPr="00B26ABE">
        <w:rPr>
          <w:rFonts w:ascii="Times New Roman" w:hAnsi="Times New Roman" w:cs="Times New Roman"/>
          <w:sz w:val="24"/>
        </w:rPr>
        <w:t>. 2010;118(12):1714-1720. doi:10.1289/ehp.1002180</w:t>
      </w:r>
    </w:p>
    <w:p w14:paraId="7077DEE6" w14:textId="5DCC842E" w:rsidR="00AA6B49" w:rsidRPr="00DA35AE" w:rsidRDefault="00AA6B49" w:rsidP="002558A4">
      <w:pPr>
        <w:rPr>
          <w:rFonts w:ascii="Times New Roman" w:hAnsi="Times New Roman" w:cs="Times New Roman"/>
          <w:sz w:val="24"/>
          <w:szCs w:val="24"/>
        </w:rPr>
      </w:pPr>
      <w:r>
        <w:rPr>
          <w:rFonts w:ascii="Times New Roman" w:hAnsi="Times New Roman" w:cs="Times New Roman"/>
          <w:sz w:val="24"/>
          <w:szCs w:val="24"/>
        </w:rPr>
        <w:fldChar w:fldCharType="end"/>
      </w:r>
    </w:p>
    <w:p w14:paraId="33903220" w14:textId="6248AE5D" w:rsidR="000B653A" w:rsidRPr="00DA35AE" w:rsidRDefault="000B653A">
      <w:pPr>
        <w:rPr>
          <w:b/>
          <w:bCs/>
        </w:rPr>
      </w:pPr>
    </w:p>
    <w:sectPr w:rsidR="000B653A" w:rsidRPr="00DA35AE" w:rsidSect="00E27F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shed, Farheen" w:date="2023-05-01T16:33:00Z" w:initials="FJ">
    <w:p w14:paraId="0486B46E" w14:textId="77777777" w:rsidR="003D28E0" w:rsidRDefault="003D28E0" w:rsidP="00441D50">
      <w:r>
        <w:rPr>
          <w:rStyle w:val="CommentReference"/>
        </w:rPr>
        <w:annotationRef/>
      </w:r>
      <w:r>
        <w:rPr>
          <w:color w:val="000000"/>
          <w:sz w:val="20"/>
          <w:szCs w:val="20"/>
        </w:rPr>
        <w:t>Is this right? These are the sources of INSIGHT-CRN data but not sure if this is right for me since I’m not using INSIGHT.</w:t>
      </w:r>
    </w:p>
  </w:comment>
  <w:comment w:id="1" w:author="Jamshed, Farheen" w:date="2023-05-01T16:50:00Z" w:initials="FJ">
    <w:p w14:paraId="62D17D00" w14:textId="77777777" w:rsidR="00C55044" w:rsidRDefault="00C55044" w:rsidP="0048204E">
      <w:r>
        <w:rPr>
          <w:rStyle w:val="CommentReference"/>
        </w:rPr>
        <w:annotationRef/>
      </w:r>
      <w:r>
        <w:rPr>
          <w:color w:val="000000"/>
          <w:sz w:val="20"/>
          <w:szCs w:val="20"/>
        </w:rPr>
        <w:t>Is this kind of a section needed for the thesis?</w:t>
      </w:r>
    </w:p>
  </w:comment>
  <w:comment w:id="2" w:author="Jamshed, Farheen" w:date="2023-05-01T17:33:00Z" w:initials="JF">
    <w:p w14:paraId="3015B053" w14:textId="77777777" w:rsidR="00265DC2" w:rsidRDefault="00265DC2" w:rsidP="00CE2AE1">
      <w:r>
        <w:rPr>
          <w:rStyle w:val="CommentReference"/>
        </w:rPr>
        <w:annotationRef/>
      </w:r>
      <w:r>
        <w:rPr>
          <w:color w:val="000000"/>
          <w:sz w:val="20"/>
          <w:szCs w:val="20"/>
        </w:rPr>
        <w:t>I already removed the eclampsia variables. Does it make sense to keep maternal mortality, stillbirth, and continuous PM in these tables?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6B46E" w15:done="0"/>
  <w15:commentEx w15:paraId="62D17D00" w15:done="0"/>
  <w15:commentEx w15:paraId="3015B0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6860" w16cex:dateUtc="2023-05-01T20:33:00Z"/>
  <w16cex:commentExtensible w16cex:durableId="27FA6C70" w16cex:dateUtc="2023-05-01T20:50:00Z"/>
  <w16cex:commentExtensible w16cex:durableId="27FA7650" w16cex:dateUtc="2023-05-01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6B46E" w16cid:durableId="27FA6860"/>
  <w16cid:commentId w16cid:paraId="62D17D00" w16cid:durableId="27FA6C70"/>
  <w16cid:commentId w16cid:paraId="3015B053" w16cid:durableId="27FA76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shed, Farheen">
    <w15:presenceInfo w15:providerId="AD" w15:userId="S::fj2284@cumc.columbia.edu::ffad7d57-1442-4dc5-8fd7-47a6c4070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A4"/>
    <w:rsid w:val="00022316"/>
    <w:rsid w:val="000B653A"/>
    <w:rsid w:val="00127AFC"/>
    <w:rsid w:val="002558A4"/>
    <w:rsid w:val="00256293"/>
    <w:rsid w:val="00265DC2"/>
    <w:rsid w:val="002939C6"/>
    <w:rsid w:val="002A4DC2"/>
    <w:rsid w:val="0033475A"/>
    <w:rsid w:val="003B12DF"/>
    <w:rsid w:val="003D16AC"/>
    <w:rsid w:val="003D28E0"/>
    <w:rsid w:val="003F45B9"/>
    <w:rsid w:val="0055380A"/>
    <w:rsid w:val="00692FC5"/>
    <w:rsid w:val="006E657A"/>
    <w:rsid w:val="007C3BEB"/>
    <w:rsid w:val="00887060"/>
    <w:rsid w:val="00AA6B49"/>
    <w:rsid w:val="00B13AC7"/>
    <w:rsid w:val="00B26ABE"/>
    <w:rsid w:val="00B87E2A"/>
    <w:rsid w:val="00C55044"/>
    <w:rsid w:val="00CC4E2A"/>
    <w:rsid w:val="00DA35AE"/>
    <w:rsid w:val="00E27FEB"/>
    <w:rsid w:val="00E67D51"/>
    <w:rsid w:val="00FA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E4AD8"/>
  <w14:defaultImageDpi w14:val="32767"/>
  <w15:chartTrackingRefBased/>
  <w15:docId w15:val="{AB258F58-D091-9C45-BA09-2255695E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28E0"/>
    <w:pPr>
      <w:spacing w:after="200" w:line="276"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6B49"/>
    <w:pPr>
      <w:tabs>
        <w:tab w:val="left" w:pos="380"/>
      </w:tabs>
      <w:spacing w:after="240" w:line="240" w:lineRule="auto"/>
      <w:ind w:left="384" w:hanging="384"/>
    </w:pPr>
  </w:style>
  <w:style w:type="character" w:styleId="CommentReference">
    <w:name w:val="annotation reference"/>
    <w:basedOn w:val="DefaultParagraphFont"/>
    <w:uiPriority w:val="99"/>
    <w:semiHidden/>
    <w:unhideWhenUsed/>
    <w:rsid w:val="003D28E0"/>
    <w:rPr>
      <w:sz w:val="16"/>
      <w:szCs w:val="16"/>
    </w:rPr>
  </w:style>
  <w:style w:type="paragraph" w:styleId="CommentText">
    <w:name w:val="annotation text"/>
    <w:basedOn w:val="Normal"/>
    <w:link w:val="CommentTextChar"/>
    <w:uiPriority w:val="99"/>
    <w:semiHidden/>
    <w:unhideWhenUsed/>
    <w:rsid w:val="003D28E0"/>
    <w:pPr>
      <w:spacing w:line="240" w:lineRule="auto"/>
    </w:pPr>
    <w:rPr>
      <w:sz w:val="20"/>
      <w:szCs w:val="20"/>
    </w:rPr>
  </w:style>
  <w:style w:type="character" w:customStyle="1" w:styleId="CommentTextChar">
    <w:name w:val="Comment Text Char"/>
    <w:basedOn w:val="DefaultParagraphFont"/>
    <w:link w:val="CommentText"/>
    <w:uiPriority w:val="99"/>
    <w:semiHidden/>
    <w:rsid w:val="003D28E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D28E0"/>
    <w:rPr>
      <w:b/>
      <w:bCs/>
    </w:rPr>
  </w:style>
  <w:style w:type="character" w:customStyle="1" w:styleId="CommentSubjectChar">
    <w:name w:val="Comment Subject Char"/>
    <w:basedOn w:val="CommentTextChar"/>
    <w:link w:val="CommentSubject"/>
    <w:uiPriority w:val="99"/>
    <w:semiHidden/>
    <w:rsid w:val="003D28E0"/>
    <w:rPr>
      <w:b/>
      <w:bCs/>
      <w:kern w:val="0"/>
      <w:sz w:val="20"/>
      <w:szCs w:val="20"/>
      <w14:ligatures w14:val="none"/>
    </w:rPr>
  </w:style>
  <w:style w:type="paragraph" w:customStyle="1" w:styleId="Compact">
    <w:name w:val="Compact"/>
    <w:basedOn w:val="BodyText"/>
    <w:qFormat/>
    <w:rsid w:val="00887060"/>
    <w:pPr>
      <w:spacing w:before="36" w:after="36" w:line="240" w:lineRule="auto"/>
    </w:pPr>
    <w:rPr>
      <w:sz w:val="24"/>
      <w:szCs w:val="24"/>
    </w:rPr>
  </w:style>
  <w:style w:type="table" w:customStyle="1" w:styleId="Table">
    <w:name w:val="Table"/>
    <w:semiHidden/>
    <w:unhideWhenUsed/>
    <w:qFormat/>
    <w:rsid w:val="00887060"/>
    <w:pPr>
      <w:spacing w:after="200"/>
    </w:pPr>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887060"/>
    <w:pPr>
      <w:keepNext/>
      <w:spacing w:after="120"/>
    </w:pPr>
    <w:rPr>
      <w:iCs w:val="0"/>
      <w:color w:val="auto"/>
      <w:sz w:val="24"/>
      <w:szCs w:val="24"/>
    </w:rPr>
  </w:style>
  <w:style w:type="paragraph" w:styleId="BodyText">
    <w:name w:val="Body Text"/>
    <w:basedOn w:val="Normal"/>
    <w:link w:val="BodyTextChar"/>
    <w:uiPriority w:val="99"/>
    <w:semiHidden/>
    <w:unhideWhenUsed/>
    <w:rsid w:val="00887060"/>
    <w:pPr>
      <w:spacing w:after="120"/>
    </w:pPr>
  </w:style>
  <w:style w:type="character" w:customStyle="1" w:styleId="BodyTextChar">
    <w:name w:val="Body Text Char"/>
    <w:basedOn w:val="DefaultParagraphFont"/>
    <w:link w:val="BodyText"/>
    <w:uiPriority w:val="99"/>
    <w:semiHidden/>
    <w:rsid w:val="00887060"/>
    <w:rPr>
      <w:kern w:val="0"/>
      <w:sz w:val="22"/>
      <w:szCs w:val="22"/>
      <w14:ligatures w14:val="none"/>
    </w:rPr>
  </w:style>
  <w:style w:type="paragraph" w:styleId="Caption">
    <w:name w:val="caption"/>
    <w:basedOn w:val="Normal"/>
    <w:next w:val="Normal"/>
    <w:uiPriority w:val="35"/>
    <w:semiHidden/>
    <w:unhideWhenUsed/>
    <w:qFormat/>
    <w:rsid w:val="0088706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12283</Words>
  <Characters>70016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 Farheen</dc:creator>
  <cp:keywords/>
  <dc:description/>
  <cp:lastModifiedBy>Jamshed, Farheen</cp:lastModifiedBy>
  <cp:revision>10</cp:revision>
  <dcterms:created xsi:type="dcterms:W3CDTF">2023-05-01T16:58:00Z</dcterms:created>
  <dcterms:modified xsi:type="dcterms:W3CDTF">2023-05-01T21:33:00Z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id="OPgbQEYi"/&gt;&lt;style id="http://www.zotero.org/styles/american-medical-association" hasBibliography="1" bibliographyStyleHasBeenSet="1"/&gt;&lt;prefs&gt;&lt;pref name="fieldType" value="Field"/&gt;&lt;/prefs&gt;&lt;/data&gt;</vt:lpwstr>
  </property>
</Properties>
</file>