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77"/>
        <w:gridCol w:w="187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 (0.14,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(-0.16,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Sum of 2nd, 4th, 5th, and 6th WHO motor milestones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(-0.12,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7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(-0.18,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(-0.32,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 (-0.24,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(-0.06,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(-0.03,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(-0.07,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(-0.37,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 (-0.17,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(-0.23,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-0.15 (-0.32,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(-0.13,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 (-0.38,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(-0.17,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(-0.35,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(-0.28,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0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Glucocorticoid receptor methylation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(-0.26,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Communication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Gross Motor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 (0,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EASQ Personal Social 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EASQ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2021-04-28T00:24:40Z</dcterms:modified>
  <cp:category/>
</cp:coreProperties>
</file>