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761 (49%)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(-0.72,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2.58 (2.17,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1.41 (-0.08, 4.41)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-25.83 (-51.4, 28.68)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68.78)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(-0.37,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-1.42 (-2.07, -0.76)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-1.31 (-2.01, -0.64)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 (-1.56, -0.23)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-1.79 (-2.35, -1.13)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(-2.28, -0.95)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-1.03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195 (13%)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 (7%)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150.2 (146.8, 154.05)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17.25)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810 (57%)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(-0.31,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(-0.37,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 (0.02, 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(0.04,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(-0.04,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(-0.08,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(-0.03,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(0.04,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(-0.03,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(-0.08, 0.44)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(-0.03,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 (-0.45,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(-0.32,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(-0.41,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(-0.06,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(-0.35,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(-0.35, -0.04)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(-0.19,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(-0.19,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(0,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727975445160237568)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(0.95,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(0.63,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(0.88,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(0.79, 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(0.65,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(0.88,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1.18552134902425e+59)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1.09 (0.8,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(0.82,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1.45 (1, 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(0.93, 1.33)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 (0.93,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(0.81,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 (0.23, 18.13)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624959704.4 (0, 8.78286913170087e+65)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(0.89,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 (0.78,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(0.88,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(0.92,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 (0.51,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(0.76,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2645605214851898)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(0.74,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(0.79,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(0.81,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 (0.15, 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520427180630980)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(0.78,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(0.75, 1.69)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1.06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(0.84, 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 (0.8, 1.82)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 (1.12, 2.33)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2022-02-17T16:23:35Z</dcterms:modified>
  <cp:category/>
</cp:coreProperties>
</file>