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89"/>
        <w:gridCol w:w="3401"/>
        <w:gridCol w:w="4791"/>
        <w:gridCol w:w="2234"/>
      </w:tblGrid>
      <w:tr>
        <w:trPr>
          <w:cantSplit/>
          <w:trHeight w:val="45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408 (48%)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Urinary F2-isoprostanes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Salivary cortisol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(-0.01, 0)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-1.39 (-4.37, 0.06)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64.44 (60.89, 68.89)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109 (98.67, 118)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Glucocorticoid receptor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NR3C1 exon 1F promoter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0.33 (0.22, 0.48)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NGFI-A transcription factor binding site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-1.43 (-2.09, -0.79)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-1.31 (-1.99, -0.68)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-0.89 (-1.61, -0.26)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-1.79 (-2.39, -1.19)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 (-2.26, -0.96)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 (-2.1, -0.9)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-1.01 (-1.6, -0.36)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-1.79 (-2.37, -1.22)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108 (15%)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59 (8%)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 (20, 27)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150.3 (147.06, 153.8)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 (4, 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 (9, 17)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 (9, 16)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 (10, 18)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406 (56%)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23"/>
        <w:gridCol w:w="1207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at Year 1 and child development at Years 1 and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 (-0.02,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(0.02,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 (0,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(-0.03, 0.22)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45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 (0.04,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(0.02,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(-0.36,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sAA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4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117.92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117.75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(-0.31,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(-0.24,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0"/>
        <w:gridCol w:w="796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2021-09-23T14:32:56Z</dcterms:modified>
  <cp:category/>
</cp:coreProperties>
</file>