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89"/>
        <w:gridCol w:w="3401"/>
        <w:gridCol w:w="4791"/>
        <w:gridCol w:w="2234"/>
      </w:tblGrid>
      <w:tr>
        <w:trPr>
          <w:cantSplit/>
          <w:trHeight w:val="45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905 (51%)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Urinary F2-isoprostanes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-0.42 (-0.73, -0.09)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2.57 (2.16, 2.91)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Salivary cortisol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(-0.01, 0)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sAA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-1.39 (-4.37, 0.06)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-26.37 (-51.35, 27.2)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64.44 (60.78, 68.67)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109 (99.33, 118.67)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Glucocorticoid receptor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NR3C1 exon 1F promoter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0.33 (0.22, 0.48)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NGFI-A transcription factor binding site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-1.39 (-2.07, -0.74)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 (-2, -0.63)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-0.89 (-1.54, -0.21)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-1.77 (-2.35, -1.11)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-1.56 (-2.27, -0.94)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-1.58 (-2.2, -0.93)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-1.02 (-1.62, -0.38)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-1.81 (-2.38, -1.2)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214 (12%)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114 (6%)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 (20, 27)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150.3 (146.8, 154.1)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 (4, 9)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 (6, 16)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 (5, 17)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 (10, 18)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836 (47%)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23"/>
        <w:gridCol w:w="1207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at Year 1 and child development at Years 1 and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 (0.14,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(-0.01,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(-0.01,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(0.01,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</w:tr>
      <w:tr>
        <w:trPr>
          <w:cantSplit/>
          <w:trHeight w:val="26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45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 Reactivity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(0.01,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(0.04,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(-0.24,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sAA Reactivity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(-0.05,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43"/>
        <w:gridCol w:w="860"/>
        <w:gridCol w:w="356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(-0.08,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(-0.36, -0.06)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(-0.24,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(-0.19, 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008"/>
        <w:gridCol w:w="1440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 (0, 3.08086939892809e+63)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(0.94,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(0.88,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(0.93,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 (0.82,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(0.67,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(0.91,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21.2 (0, 13163801340168188)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(0.75,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(0.87,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(0.79, 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 (1.13, 2.51)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(0.89,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 (1.03, 2.68)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 (0.26, 14.87)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36794.26 (0, 1.02219721168836e+34)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(0.88,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(0.81,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(0.85, 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(0.93,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 (0.54,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 (0, 5.8646011462118e+40)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(0.86,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(0.79,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1.15 (0.89,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(0.8, 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2021-09-23T16:54:48Z</dcterms:modified>
  <cp:category/>
</cp:coreProperties>
</file>