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Supplemental Table 1. Effect measure modification of salivary stress biomarkers and concurrent child development at Year 2 by Family Care Inventory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(-0.18,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(-0.2,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(-0.18,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(-0.7, 0.95)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(-0.69,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(-0.45,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(-0.42,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 (-0.39,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 (-0.38,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 (-0.43,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 (-0.41, 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 (-2.25,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(-1.6, 1.65)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 (-1.23, 0.75)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 (-0.33, 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-1.25 (-3.22, 0.72)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-0.44 (-2.25,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-0.87 (-2.71, 0.97)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(-1.88, 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(-0.78, 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 (-0.06, 1.27)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(-0.79, 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 (0.09, 1.41)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(-0.05,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(-0.11,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(-0.11, 0.39)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(-0.76, 0.86)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(-0.73, 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(-0.48,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(-0.44,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 (-0.48,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 (-0.47,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(-0.6, 0.84)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(-0.57, 0.85)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(-0.58, 0.74)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(-0.57, 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(-1.72,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(-1.81, 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 (-0.33,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(-0.36, 0.83)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 (-2.38,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-0.51 (-2.41, 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-0.41 (-2.1, 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 (-2.31,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-0.53 (-2.18,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-0.42 (-2.12, 1.28)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(-0.62, 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 (-0.18, 0.92)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(-0.07,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(-0.09,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(-0.09,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(-1.35, 0.96)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(-1.3, 1.01)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Supplemental Table 2. Effect measure modification of glucocortoid receptor methylation and child development at Year 2 by Family Care Inventory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(-0.48, 0.54)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(-0.5, 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(-0.49, 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(-0.55, 0.71)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-0.76 (-2.31, 0.78)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-0.62 (-2.08, 0.85)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-1.39 (-3.15,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-1.33 (-3.01,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(-0.13,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(-0.13,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 (-0.53,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 (-0.56,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(-0.06,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-0.48 (-1.88, 0.92)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-0.39 (-1.74, 0.97)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-1.41 (-3.01,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-1.36 (-2.9, 0.19)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Supplemental Table 3. Effect measure modification of urinary isoprostanes and concurrent child development by Family Care Inventory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 (-0.38, 1.73)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 (-0.34, 1.84)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 (-0.87,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 (-0.98,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(-0.29,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(-0.27,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-0.58 (-1.42, 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-0.38 (-1.2, 0.43)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-1.23 (-2.53,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-1.2 (-2.48,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(-0.47,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(-0.51,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(-0.21,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(-0.17,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(-0.16,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(0,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Supplemental Table 4. Effect measure modification of urinary isoprostanes at Year 1 and subsequent child development at Year 2 by Family Care Inventory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(-0.37,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(-0.15,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(-0.14,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(-0.18,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(-0.18,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(-0.17,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(-0.16,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 (-0.4,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(-0.44,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(-0.28,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(-0.41,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 (-0.54,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(-0.48,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-0.36 (-1.06,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-0.47 (-1.15,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(-0.43,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-0.63 (-1.5,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-0.55 (-1.4,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(-0.02,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(-0.01,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(0.02,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(-0.06,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(-0.02,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(-0.4,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(-0.35,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(-0.01,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(-0.16,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 (-0.11, 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 (-0.48,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(-0.25,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 (-0.52, -0.06)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(-0.45,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-0.31 (-0.52,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 (-0.4,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(-0.22,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(-0.21,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(-0.02,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(-0.04,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(-0.04,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(0,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(-0.01, 0.02)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Supplemental Table 5. Effect measure modification of mean arterial pressure and heart rate and child development at Year 2 by Family Care Inventory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(-0.33,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-0.21 (-0.32,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(-0.05,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Family Care Inventory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 (-0.32,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 (-0.31, -0.09)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(-0.16,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(-0.04,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(-0.03,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(-0.01,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(-0.07,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(-0.06, 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2022-03-11T15:30:27Z</dcterms:modified>
  <cp:category/>
</cp:coreProperties>
</file>