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(Delta)</w:t>
      </w:r>
    </w:p>
    <w:p>
      <w:pPr>
        <w:pStyle w:val="Titre2"/>
      </w:pPr>
      <w:r>
        <w:t xml:space="preserve">Table Delta-1. Effect modification by Giardia (14-month stool, TAC qPCR; 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0.234 (0.093, 0.375)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(-0.122, 0.304)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0.290 (0.116, 0.463)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(-0.281, 0.487)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0.125 (-0.057, 0.307)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(-0.351,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0.257 (0.034, 0.479)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0.110 (-0.227, 0.447)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(-0.106, 0.300)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-0.103 (-0.355, 0.149)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0.410 (0.150, 0.671)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0.429 (-0.154, 1.012)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(-0.048, 0.467)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0.301 (-0.191, 0.793)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(-0.251, 0.116)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(-0.384, 0.202)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(-0.434, 0.143)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(-0.682, 0.249)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-0.101 (-0.412, 0.211)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-0.477 (-0.857, -0.098)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(-0.114, 0.243)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0.154 (-0.232, 0.540)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 (-0.351, 0.374)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-0.415 (-1.261, 0.430)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0.023 (-0.133, 0.179)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(-0.296, 0.279)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-0.224 (-0.407, -0.041)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-0.121 (-0.419, 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(-0.088, 0.305)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0.168 (-0.194, 0.529)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(-0.212,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(-0.349,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(-0.382,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(-0.350, 0.345)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(-0.370, -0.005)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(-0.372, 0.375)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-0.250 (-0.559,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-0.324 (-0.831, 0.182)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(-0.105, 0.223)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0.080 (-0.276, 0.436)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0.119 (-0.071, 0.308)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(-0.335, 0.390)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-0.155 (-0.471, 0.161)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-0.536 (-1.293, 0.221)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(-0.226, 0.203)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0.418 (-0.120, 0.956)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-0.065 (-0.236,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(-0.324, 0.158)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(-0.232, 0.095)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(-0.261, 0.412)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(-0.384, -0.048)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(-0.448, 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0.169 (-0.204, 0.542)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0.584 (-0.210, 1.378)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 (-0.349, 0.383)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0.425 (-0.325, 1.174)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at the start of the 14-to-28-month interval, so infection precedes the 28-month endpoint of the change score.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Delta-2. Effect modification by Cryptosporidium (14-month stool, TAC qPCR; 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(0.075, 0.344)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0.241 (-0.103, 0.585)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0.288 (0.107, 0.469)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0.090 (-0.275, 0.456)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0.076 (-0.092, 0.243)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0.304 (-0.104, 0.713)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(0.067, 0.451)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0.042 (-0.601, 0.684)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0.042 (-0.151, 0.236)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0.242 (-0.235, 0.719)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0.427 (0.172, 0.683)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0.383 (-0.403, 1.169)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0.194 (-0.028, 0.416)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0.565 (-0.277, 1.407)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(-0.295, 0.051)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0.271 (-0.248, 0.790)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-0.138 (-0.404,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-0.329 (-1.211, 0.553)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-0.235 (-0.521,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0.433 (-0.280, 1.145)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(-0.171, 0.175)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0.610 (0.028, 1.192)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-0.062 (-0.444, 0.320)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(-0.917, 0.801)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-0.021 (-0.157, 0.116)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0.317 (-0.157, 0.791)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-0.252 (-0.425, -0.078)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0.115 (-0.413, 0.642)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0.110 (-0.080, 0.300)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0.147 (-0.398, 0.691)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(-0.251, 0.041)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0.424 (-0.120, 0.969)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(-0.384, 0.007)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(-0.342, 0.760)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(-0.392, -0.018)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0.151 (-0.451, 0.753)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-0.297 (-0.550, -0.044)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(-1.029, 0.829)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0.036 (-0.113, 0.185)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0.281 (-0.241, 0.803)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(-0.109, 0.282)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0.235 (-0.176, 0.646)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-0.194 (-0.493,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-0.228 (-1.244, 0.788)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0.077 (-0.111, 0.264)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(-0.716, 0.455)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-0.085 (-0.230, 0.060)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(-0.321, 0.447)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(-0.192,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-0.087 (-0.545, 0.371)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-0.245 (-0.401, -0.089)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0.115 (-0.310, 0.540)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0.182 (-0.187, 0.551)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0.450 (-0.449, 1.350)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-0.024 (-0.351, 0.303)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0.718 (-0.088, 1.523)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Infection status from the 14-month stool specimen assayed by TaqMan Array Card multiplex qPCR (median age 14.3 months, IQR 12.7-15.7). Collected at the start of the 14-to-28-month interval, so infection precedes the 28-month endpoint of the change score.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Delta-3. Effect modification by Diarrhea, past 7 days at the 14-month visit (measured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(0.065, 0.328)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0.201 (-0.025, 0.427)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0.262 (0.091, 0.432)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0.705 (0.294, 1.115)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(-0.054, 0.261)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0.615 (0.304, 0.926)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0.279 (0.086, 0.472)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(-0.465, 0.425)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0.127 (-0.052, 0.306)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(-0.379, 0.286)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0.464 (0.229, 0.699)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0.311 (-0.325, 0.948)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0.307 (0.086, 0.528)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(-0.548, 0.697)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(-0.253,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(-0.408, 0.325)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(-0.435, 0.168)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-0.177 (-0.747, 0.393)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-0.154 (-0.452, 0.143)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(-0.526, 0.474)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0.130 (-0.076, 0.335)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(-0.325, 0.450)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(-0.450, 0.317)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(-0.831, 0.613)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(-0.092, 0.269)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(-0.381, 0.243)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(-0.331,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-0.442 (-0.819, -0.065)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0.183 (-0.022, 0.388)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(-0.380, 0.383)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 (-0.187, 0.196)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(-0.536, 0.282)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(-0.310, 0.160)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-0.739 (-1.130, -0.347)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(-0.333, 0.072)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-0.141 (-0.513, 0.230)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-0.290 (-0.569, -0.012)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(-0.874, 0.584)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0.102 (-0.081, 0.284)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(-0.325, 0.451)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(-0.021,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(-0.511, 0.377)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(-0.430, 0.254)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0.079 (-0.593, 0.750)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(-0.101, 0.318)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(-0.612, 0.592)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(-0.195, 0.102)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-0.098 (-0.327,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(-0.238, 0.070)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0.051 (-0.313,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(-0.365, -0.053)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(-0.288, 0.267)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0.149 (-0.219, 0.516)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 (-0.686, 0.694)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0.049 (-0.316,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(-0.684, 0.539)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Delta-4. Effect modification by Diarrhea, past 7 days at the 28-month visit (measured at the end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0.177 (0.053, 0.302)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0.288 (-0.038, 0.614)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0.273 (0.095, 0.451)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0.656 (0.169, 1.143)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0.166 (0.000, 0.332)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0.144 (-0.255, 0.544)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0.206 (0.015, 0.398)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0.414 (-0.079, 0.907)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(-0.081, 0.295)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-0.072 (-0.478, 0.334)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0.385 (0.158, 0.612)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0.922 (0.190, 1.654)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0.261 (0.050, 0.473)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0.433 (-0.186, 1.053)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(-0.229, 0.127)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-0.313 (-0.821, 0.194)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(-0.385, 0.145)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(-1.361, 0.452)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-0.189 (-0.468,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(-0.641, 0.646)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0.154 (-0.042, 0.351)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-0.430 (-0.933, 0.073)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(-0.454, 0.277)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-0.180 (-1.011, 0.650)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(-0.108, 0.252)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-0.158 (-0.461, 0.144)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(-0.345, 0.025)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-0.402 (-0.837,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0.139 (-0.059, 0.336)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(-0.350, 0.555)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 (-0.190, 0.208)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-0.310 (-0.624, 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(-0.371, 0.082)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-0.392 (-0.850, 0.066)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(-0.316, 0.080)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-0.241 (-0.699, 0.216)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-0.237 (-0.523, 0.050)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-0.797 (-1.417, -0.176)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0.118 (-0.062, 0.298)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(-0.689, 0.247)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0.176 (-0.048, 0.399)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(-0.450, 0.421)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-0.005 (-0.331, 0.320)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-1.040 (-2.072, -0.009)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0.162 (-0.059, 0.382)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-0.431 (-1.099, 0.237)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-0.077 (-0.219, 0.064)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0.130 (-0.288, 0.547)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-0.096 (-0.238, 0.046)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(-0.506, 0.650)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-0.176 (-0.329, -0.024)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-0.366 (-0.715, -0.016)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0.046 (-0.306, 0.398)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1.096 (-0.006, 2.198)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(-0.368, 0.345)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0.719 (-0.208, 1.646)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Delta-5. Effect modification by Fever, past 7 days at the 14-month visit (measured at the start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0.180 (0.036, 0.323)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0.202 (0.032, 0.371)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0.295 (0.081, 0.508)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0.324 (0.072, 0.576)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0.147 (-0.043, 0.337)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0.205 (-0.021, 0.432)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0.274 (0.027, 0.521)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0.122 (-0.101, 0.346)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0.132 (-0.096, 0.359)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 (-0.211, 0.250)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0.481 (0.208, 0.753)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0.290 (-0.065, 0.645)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0.318 (0.098, 0.539)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0.165 (-0.205, 0.534)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(-0.239, 0.129)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-0.076 (-0.350, 0.198)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(-0.450,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-0.092 (-0.511, 0.326)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(-0.477, 0.112)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(-0.533, 0.276)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(-0.049, 0.369)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0.027 (-0.232, 0.287)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-0.227 (-0.593, 0.140)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0.126 (-0.378, 0.630)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0.123 (-0.073, 0.319)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(-0.287, 0.141)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(-0.270, 0.112)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-0.374 (-0.633, -0.114)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0.211 (-0.022, 0.445)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-0.006 (-0.232, 0.220)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(-0.143, 0.287)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-0.192 (-0.417, 0.034)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(-0.290, 0.199)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-0.396 (-0.712, -0.079)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-0.086 (-0.302, 0.130)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(-0.487, 0.058)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-0.255 (-0.539, 0.029)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-0.293 (-0.743, 0.157)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0.094 (-0.105, 0.294)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(-0.198, 0.375)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0.222 (-0.017, 0.460)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0.044 (-0.259, 0.347)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(-0.516, 0.275)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(-0.427, 0.439)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(-0.124, 0.317)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0.120 (-0.272, 0.511)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(-0.166, 0.162)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-0.172 (-0.389, 0.043)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(-0.259, 0.117)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(-0.303, 0.085)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(-0.372, -0.003)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(-0.384, -0.013)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(-0.168, 0.686)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-0.137 (-0.605, 0.331)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0.173 (-0.231, 0.578)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-0.210 (-0.641, 0.220)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Delta-6. Effect modification by Fever, past 7 days at the 28-month visit (measured at the end of the interval).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39"/>
        <w:gridCol w:w="436"/>
        <w:gridCol w:w="610"/>
        <w:gridCol w:w="610"/>
        <w:gridCol w:w="1829"/>
        <w:gridCol w:w="697"/>
        <w:gridCol w:w="871"/>
        <w:gridCol w:w="436"/>
        <w:gridCol w:w="610"/>
        <w:gridCol w:w="610"/>
        <w:gridCol w:w="1829"/>
        <w:gridCol w:w="697"/>
        <w:gridCol w:w="871"/>
        <w:gridCol w:w="697"/>
        <w:gridCol w:w="871"/>
      </w:tblGrid>
      <w:tr>
        <w:trPr>
          <w:cantSplit/>
          <w:trHeight w:val="360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0.187 (0.051, 0.322)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0.170 (-0.056, 0.397)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0.342 (0.142, 0.542)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0.126 (-0.100, 0.351)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(-0.040, 0.309)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0.272 (-0.042, 0.585)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(0.060, 0.458)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0.074 (-0.254, 0.402)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(-0.117, 0.245)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0.213 (-0.151, 0.578)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0.379 (0.093, 0.665)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0.586 (0.244, 0.927)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0.190 (-0.047, 0.427)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0.601 (0.241, 0.961)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(-0.226, 0.142)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-0.164 (-0.419, 0.092)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ΔIL-1β/IL-10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-0.095 (-0.379, 0.189)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-0.338 (-0.814, 0.139)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body28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ΔIL-6/IL-10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(-0.490, 0.093)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(-0.429, 0.336)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ΔTNF-α/IL-10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0.169 (-0.018, 0.357)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(-0.416, 0.241)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cantSplit/>
          <w:trHeight w:val="36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(-0.438, 0.327)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-0.286 (-0.870, 0.297)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0.079 (-0.082, 0.240)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(-0.361, 0.245)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</w:tr>
      <w:tr>
        <w:trPr>
          <w:cantSplit/>
          <w:trHeight w:val="36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(-0.329, 0.009)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-0.233 (-0.604, 0.137)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0.186 (-0.013, 0.386)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-0.094 (-0.394, 0.206)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cantSplit/>
          <w:trHeight w:val="36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(-0.185, 0.140)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 (-0.381, 0.391)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body49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ΔIL-4/IL-10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(-0.382, 0.089)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(-0.556, 0.106)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ΔIL-5/IL-10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-0.103 (-0.276, 0.071)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(-0.659, 0.217)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body55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ΔIL-13/IL-10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-0.218 (-0.495, 0.059)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-0.511 (-0.974, -0.049)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cantSplit/>
          <w:trHeight w:val="36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body57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body58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0.053 (-0.117, 0.222)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0.212 (-0.127, 0.552)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</w:tr>
      <w:tr>
        <w:trPr>
          <w:cantSplit/>
          <w:trHeight w:val="36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body60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body61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ΔIL-17A/IL-10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0.113 (-0.086, 0.312)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0.337 (-0.101, 0.775)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</w:tr>
      <w:tr>
        <w:trPr>
          <w:cantSplit/>
          <w:trHeight w:val="36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body63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body64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ΔIL-21/IL-10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-0.115 (-0.445, 0.216)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0.033 (-0.561, 0.628)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body66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206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body67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ΔGM-CSF/IL-10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0.067 (-0.132, 0.266)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0.208 (-0.276, 0.693)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body69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body70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-0.013 (-0.153, 0.128)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-0.234 (-0.466, -0.003)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cantSplit/>
          <w:trHeight w:val="36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body72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body73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 (-0.128, 0.167)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-0.490 (-0.799, -0.180)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cantSplit/>
          <w:trHeight w:val="36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body75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body76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ΔIFN-γ/IL-17A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-0.149 (-0.311, 0.013)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-0.330 (-0.577, -0.083)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body78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body79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ΔIL-12/IL-21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0.189 (-0.176, 0.554)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-0.110 (-0.657, 0.436)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cantSplit/>
          <w:trHeight w:val="36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body81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body82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Ln ΔIFN-γ/IL-21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(-0.297, 0.415)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(-0.587, 0.592)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single" w:sz="4" w:space="0" w:color="BFBFB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cantSplit/>
          <w:trHeight w:val="36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body84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FBFB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Confidence intervals were adjusted for clustered observations using robust standard errors.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IL = Interleukin; TNF-α = Tumor necrosis factor-α; IFN-γ = interferon-γ; GM-CSF = Granulocyte-macrophage colony-stimulating factor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a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Both the raw p-value and a p-value Bonferroni corrected to control for familywise error rates are shown.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b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Pro-inflammatory cytokines: IL-1β, IL-6, TNF-α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c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 cytokines: IL-12, IFN-γ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d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Th2 cytokines: IL-4, IL-5, IL-13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vertAlign w:val="superscript"/>
          <w:sz w:val="16"/>
          <w:szCs w:val="16"/>
          <w:color w:val="000000"/>
        </w:rPr>
        <w:t xml:space="preserve">e</w:t>
      </w:r>
      <w:r>
        <w:rPr>
          <w:rFonts w:ascii="Times New Roman" w:hAnsi="Times New Roman" w:eastAsia="Times New Roman" w:cs="Times New Roman"/>
          <w:i w:val="false"/>
          <w:b w:val="false"/>
          <w:u w:val="none"/>
          <w:sz w:val="16"/>
          <w:szCs w:val="16"/>
          <w:color w:val="000000"/>
        </w:rPr>
        <w:t xml:space="preserve">Th17 cytokines: IL-17A, IL-21</w:t>
      </w:r>
    </w:p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2026-09-15T15:40:43Z</dcterms:modified>
  <cp:category/>
</cp:coreProperties>
</file>