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60DA" w:rsidRDefault="005960DA" w:rsidP="005960DA">
      <w:pPr>
        <w:spacing w:after="161" w:line="259" w:lineRule="auto"/>
        <w:ind w:left="23" w:right="16"/>
        <w:jc w:val="left"/>
        <w:rPr>
          <w:b/>
        </w:rPr>
      </w:pPr>
      <w:r>
        <w:rPr>
          <w:b/>
        </w:rPr>
        <w:t>Apellidos y nombres: Acero Mamani Washington</w:t>
      </w:r>
    </w:p>
    <w:p w:rsidR="005960DA" w:rsidRDefault="005960DA" w:rsidP="005960DA">
      <w:pPr>
        <w:spacing w:after="161" w:line="259" w:lineRule="auto"/>
        <w:ind w:left="23" w:right="16"/>
        <w:jc w:val="left"/>
        <w:rPr>
          <w:b/>
        </w:rPr>
      </w:pPr>
      <w:r>
        <w:rPr>
          <w:b/>
        </w:rPr>
        <w:t>Código: 141850</w:t>
      </w:r>
    </w:p>
    <w:p w:rsidR="00EE15C0" w:rsidRDefault="00A06628">
      <w:pPr>
        <w:spacing w:after="161" w:line="259" w:lineRule="auto"/>
        <w:ind w:left="23" w:right="16"/>
        <w:jc w:val="center"/>
      </w:pPr>
      <w:r>
        <w:rPr>
          <w:b/>
        </w:rPr>
        <w:t xml:space="preserve">PRÁCTICA DE LABORATORIO N° 08 </w:t>
      </w:r>
    </w:p>
    <w:p w:rsidR="00EE15C0" w:rsidRDefault="00A06628">
      <w:pPr>
        <w:spacing w:after="161" w:line="259" w:lineRule="auto"/>
        <w:ind w:left="23"/>
        <w:jc w:val="center"/>
      </w:pPr>
      <w:r>
        <w:rPr>
          <w:b/>
        </w:rPr>
        <w:t xml:space="preserve">PCA  </w:t>
      </w:r>
    </w:p>
    <w:p w:rsidR="00EE15C0" w:rsidRDefault="00A06628">
      <w:pPr>
        <w:spacing w:after="161" w:line="259" w:lineRule="auto"/>
        <w:ind w:left="23" w:right="13"/>
        <w:jc w:val="center"/>
      </w:pPr>
      <w:r>
        <w:rPr>
          <w:b/>
        </w:rPr>
        <w:t xml:space="preserve">(Principal </w:t>
      </w:r>
      <w:proofErr w:type="spellStart"/>
      <w:r>
        <w:rPr>
          <w:b/>
        </w:rPr>
        <w:t>Component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Analysis</w:t>
      </w:r>
      <w:proofErr w:type="spellEnd"/>
      <w:r>
        <w:rPr>
          <w:b/>
        </w:rPr>
        <w:t xml:space="preserve">) </w:t>
      </w:r>
      <w:bookmarkStart w:id="0" w:name="_GoBack"/>
      <w:bookmarkEnd w:id="0"/>
    </w:p>
    <w:p w:rsidR="00EE15C0" w:rsidRDefault="00A06628">
      <w:pPr>
        <w:spacing w:after="154"/>
        <w:ind w:left="55"/>
      </w:pPr>
      <w:r>
        <w:t xml:space="preserve">El archivo petrology_data.xls contiene datos petrológicos de grandes óxidos para 35 muestras de basalto de cresta oceánica recolectadas a lo largo del Levante del Pacífico Oriental del norte. Para cada muestra, se presenta el porcentaje en peso de once óxidos ((SiO2, TiO2, Al2O3, Cr2O3, </w:t>
      </w:r>
      <w:proofErr w:type="spellStart"/>
      <w:r>
        <w:t>FeO</w:t>
      </w:r>
      <w:proofErr w:type="spellEnd"/>
      <w:r>
        <w:t xml:space="preserve">, </w:t>
      </w:r>
      <w:proofErr w:type="spellStart"/>
      <w:r>
        <w:t>NiO</w:t>
      </w:r>
      <w:proofErr w:type="spellEnd"/>
      <w:r>
        <w:t xml:space="preserve">, </w:t>
      </w:r>
      <w:proofErr w:type="spellStart"/>
      <w:r>
        <w:t>MnO</w:t>
      </w:r>
      <w:proofErr w:type="spellEnd"/>
      <w:r>
        <w:t xml:space="preserve">, </w:t>
      </w:r>
      <w:proofErr w:type="spellStart"/>
      <w:r>
        <w:t>MgO</w:t>
      </w:r>
      <w:proofErr w:type="spellEnd"/>
      <w:r>
        <w:t xml:space="preserve">, </w:t>
      </w:r>
      <w:proofErr w:type="spellStart"/>
      <w:r>
        <w:t>CaO</w:t>
      </w:r>
      <w:proofErr w:type="spellEnd"/>
      <w:r>
        <w:t xml:space="preserve">, Na2O, and K2O)). </w:t>
      </w:r>
    </w:p>
    <w:p w:rsidR="00EE15C0" w:rsidRDefault="00A06628">
      <w:pPr>
        <w:spacing w:after="163" w:line="259" w:lineRule="auto"/>
        <w:ind w:left="-5"/>
        <w:jc w:val="left"/>
      </w:pPr>
      <w:r>
        <w:rPr>
          <w:b/>
        </w:rPr>
        <w:t xml:space="preserve">ACTIVIDAD 1: Carga de Datos </w:t>
      </w:r>
    </w:p>
    <w:p w:rsidR="00EE15C0" w:rsidRDefault="00A06628">
      <w:pPr>
        <w:spacing w:after="154"/>
        <w:ind w:left="55"/>
      </w:pPr>
      <w:r>
        <w:t xml:space="preserve">Puede hacerlo eliminando filas y columnas no numéricas en el archivo de Excel, guardando el archivo en formato de variable separada por comas (.CSV) y cargándolo en </w:t>
      </w:r>
      <w:proofErr w:type="spellStart"/>
      <w:r>
        <w:t>Octave</w:t>
      </w:r>
      <w:proofErr w:type="spellEnd"/>
      <w:r>
        <w:t>/</w:t>
      </w:r>
      <w:proofErr w:type="spellStart"/>
      <w:r>
        <w:t>Matlab</w:t>
      </w:r>
      <w:proofErr w:type="spellEnd"/>
      <w:r>
        <w:t xml:space="preserve"> con el comando </w:t>
      </w:r>
      <w:r>
        <w:rPr>
          <w:b/>
          <w:i/>
        </w:rPr>
        <w:t>load</w:t>
      </w:r>
      <w:r>
        <w:t xml:space="preserve">. </w:t>
      </w:r>
    </w:p>
    <w:p w:rsidR="00EE15C0" w:rsidRDefault="00A06628">
      <w:pPr>
        <w:spacing w:after="163" w:line="259" w:lineRule="auto"/>
        <w:ind w:left="-5"/>
        <w:jc w:val="left"/>
      </w:pPr>
      <w:r>
        <w:rPr>
          <w:b/>
        </w:rPr>
        <w:t xml:space="preserve">ACTIVIDAD 2: </w:t>
      </w:r>
      <w:proofErr w:type="spellStart"/>
      <w:r>
        <w:rPr>
          <w:b/>
        </w:rPr>
        <w:t>Plotear</w:t>
      </w:r>
      <w:proofErr w:type="spellEnd"/>
      <w:r>
        <w:rPr>
          <w:b/>
        </w:rPr>
        <w:t xml:space="preserve"> las concentraciones de </w:t>
      </w:r>
      <w:proofErr w:type="spellStart"/>
      <w:r>
        <w:rPr>
          <w:b/>
        </w:rPr>
        <w:t>MgO</w:t>
      </w:r>
      <w:proofErr w:type="spellEnd"/>
      <w:r>
        <w:rPr>
          <w:b/>
        </w:rPr>
        <w:t xml:space="preserve"> versus SiO2.  </w:t>
      </w:r>
    </w:p>
    <w:p w:rsidR="00EE15C0" w:rsidRDefault="00A06628">
      <w:pPr>
        <w:numPr>
          <w:ilvl w:val="0"/>
          <w:numId w:val="1"/>
        </w:numPr>
        <w:ind w:hanging="360"/>
      </w:pPr>
      <w:r>
        <w:t xml:space="preserve">¿Están correlacionados o no están correlacionados?  </w:t>
      </w:r>
    </w:p>
    <w:p w:rsidR="00654AFA" w:rsidRDefault="00654AFA" w:rsidP="00654AFA">
      <w:pPr>
        <w:ind w:left="720" w:firstLine="0"/>
      </w:pPr>
    </w:p>
    <w:p w:rsidR="00654AFA" w:rsidRDefault="00654AFA" w:rsidP="00654AFA">
      <w:pPr>
        <w:ind w:left="720" w:firstLine="0"/>
      </w:pPr>
      <w:r w:rsidRPr="00654AFA">
        <w:rPr>
          <w:noProof/>
        </w:rPr>
        <w:drawing>
          <wp:inline distT="0" distB="0" distL="0" distR="0">
            <wp:extent cx="5486400" cy="3657600"/>
            <wp:effectExtent l="0" t="0" r="0" b="0"/>
            <wp:docPr id="2" name="Imagen 2" descr="C:\Users\washin\Downloads\PCA\sv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ashin\Downloads\PCA\sv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4AFA" w:rsidRDefault="00654AFA" w:rsidP="00654AFA">
      <w:pPr>
        <w:ind w:left="720" w:firstLine="0"/>
      </w:pPr>
      <w:r>
        <w:t>Si están correlacionados, como se puede ver en la imagen.</w:t>
      </w:r>
    </w:p>
    <w:p w:rsidR="00EE15C0" w:rsidRDefault="00A06628">
      <w:pPr>
        <w:numPr>
          <w:ilvl w:val="0"/>
          <w:numId w:val="1"/>
        </w:numPr>
        <w:spacing w:after="158"/>
        <w:ind w:hanging="360"/>
      </w:pPr>
      <w:r>
        <w:t xml:space="preserve">¿Qué es el coeficiente de correlación? </w:t>
      </w:r>
    </w:p>
    <w:p w:rsidR="00654AFA" w:rsidRDefault="00654AFA" w:rsidP="00654AFA">
      <w:pPr>
        <w:spacing w:after="158"/>
        <w:ind w:left="720" w:firstLine="0"/>
      </w:pPr>
      <w:r>
        <w:rPr>
          <w:noProof/>
        </w:rPr>
        <w:drawing>
          <wp:inline distT="0" distB="0" distL="0" distR="0">
            <wp:extent cx="1360536" cy="488576"/>
            <wp:effectExtent l="0" t="0" r="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76C62F8.tmp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309" r="5799" b="9275"/>
                    <a:stretch/>
                  </pic:blipFill>
                  <pic:spPr bwMode="auto">
                    <a:xfrm>
                      <a:off x="0" y="0"/>
                      <a:ext cx="1363650" cy="4896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54AFA" w:rsidRDefault="00654AFA" w:rsidP="00654AFA">
      <w:pPr>
        <w:spacing w:after="158"/>
        <w:ind w:left="720" w:firstLine="0"/>
      </w:pPr>
      <w:r>
        <w:t>Hay un coeficiente de correlación negativa.</w:t>
      </w:r>
    </w:p>
    <w:p w:rsidR="00EE15C0" w:rsidRDefault="00A06628">
      <w:pPr>
        <w:spacing w:after="163" w:line="259" w:lineRule="auto"/>
        <w:ind w:left="-5"/>
        <w:jc w:val="left"/>
      </w:pPr>
      <w:r>
        <w:rPr>
          <w:b/>
        </w:rPr>
        <w:lastRenderedPageBreak/>
        <w:t xml:space="preserve">ACTIVIDAD 3: Calcule los componentes principales de los datos de óxido.  </w:t>
      </w:r>
    </w:p>
    <w:p w:rsidR="00EE15C0" w:rsidRDefault="00A06628">
      <w:pPr>
        <w:numPr>
          <w:ilvl w:val="0"/>
          <w:numId w:val="2"/>
        </w:numPr>
        <w:ind w:hanging="420"/>
      </w:pPr>
      <w:r>
        <w:t xml:space="preserve">Calcular el promedio en cada columna de datos </w:t>
      </w:r>
    </w:p>
    <w:p w:rsidR="00A6621C" w:rsidRDefault="00A6621C" w:rsidP="00A6621C">
      <w:pPr>
        <w:ind w:left="465" w:firstLine="0"/>
      </w:pPr>
      <w:r>
        <w:rPr>
          <w:noProof/>
        </w:rPr>
        <w:drawing>
          <wp:inline distT="0" distB="0" distL="0" distR="0">
            <wp:extent cx="1914792" cy="2286319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76C2D3C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5C0" w:rsidRDefault="00A06628">
      <w:pPr>
        <w:numPr>
          <w:ilvl w:val="0"/>
          <w:numId w:val="2"/>
        </w:numPr>
        <w:ind w:hanging="420"/>
      </w:pPr>
      <w:r>
        <w:t xml:space="preserve">Calcule la matriz de covarianza  </w:t>
      </w:r>
    </w:p>
    <w:p w:rsidR="00EE15C0" w:rsidRDefault="00A06628">
      <w:pPr>
        <w:numPr>
          <w:ilvl w:val="0"/>
          <w:numId w:val="2"/>
        </w:numPr>
        <w:ind w:hanging="420"/>
      </w:pPr>
      <w:r>
        <w:t xml:space="preserve">Realice la descomposición de valores propios y asegúrese de que los valores propios estén en orden descendente. </w:t>
      </w:r>
    </w:p>
    <w:p w:rsidR="00EE15C0" w:rsidRDefault="00A06628">
      <w:pPr>
        <w:numPr>
          <w:ilvl w:val="0"/>
          <w:numId w:val="2"/>
        </w:numPr>
        <w:spacing w:after="151"/>
        <w:ind w:hanging="420"/>
      </w:pPr>
      <w:r>
        <w:t xml:space="preserve">Calcule la fracción de la varianza explicada por cada componente principal  </w:t>
      </w:r>
    </w:p>
    <w:p w:rsidR="00EE15C0" w:rsidRDefault="00A06628">
      <w:pPr>
        <w:spacing w:after="115" w:line="259" w:lineRule="auto"/>
        <w:ind w:left="60" w:firstLine="0"/>
        <w:jc w:val="center"/>
      </w:pPr>
      <w:r>
        <w:rPr>
          <w:noProof/>
        </w:rPr>
        <w:drawing>
          <wp:inline distT="0" distB="0" distL="0" distR="0">
            <wp:extent cx="1465707" cy="818515"/>
            <wp:effectExtent l="0" t="0" r="0" b="0"/>
            <wp:docPr id="113" name="Picture 1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Picture 11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65707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EE15C0" w:rsidRDefault="00A06628">
      <w:pPr>
        <w:numPr>
          <w:ilvl w:val="0"/>
          <w:numId w:val="2"/>
        </w:numPr>
        <w:spacing w:after="154"/>
        <w:ind w:hanging="420"/>
      </w:pPr>
      <w:r>
        <w:t xml:space="preserve">Haga un gráfico de la varianza porcentual acumulada contabilizada frente al índice del componente. </w:t>
      </w:r>
    </w:p>
    <w:p w:rsidR="00EE15C0" w:rsidRDefault="00A06628">
      <w:pPr>
        <w:spacing w:after="163" w:line="259" w:lineRule="auto"/>
        <w:ind w:left="-5"/>
        <w:jc w:val="left"/>
      </w:pPr>
      <w:r>
        <w:rPr>
          <w:b/>
        </w:rPr>
        <w:t xml:space="preserve">Responder lo siguiente: </w:t>
      </w:r>
    </w:p>
    <w:p w:rsidR="00EE15C0" w:rsidRDefault="00A06628">
      <w:pPr>
        <w:numPr>
          <w:ilvl w:val="1"/>
          <w:numId w:val="2"/>
        </w:numPr>
        <w:ind w:hanging="360"/>
      </w:pPr>
      <w:r>
        <w:t xml:space="preserve">¿Cuántos componentes principales se requieren para explicar el 95% de la varianza en los datos de Petrología?  </w:t>
      </w:r>
    </w:p>
    <w:p w:rsidR="00EE15C0" w:rsidRDefault="00A06628">
      <w:pPr>
        <w:numPr>
          <w:ilvl w:val="1"/>
          <w:numId w:val="2"/>
        </w:numPr>
        <w:ind w:hanging="360"/>
      </w:pPr>
      <w:r>
        <w:t xml:space="preserve">Mire las relaciones entre </w:t>
      </w:r>
      <w:proofErr w:type="spellStart"/>
      <w:r>
        <w:t>MgO</w:t>
      </w:r>
      <w:proofErr w:type="spellEnd"/>
      <w:r>
        <w:t xml:space="preserve"> y SiO2 en los componentes principales. ¿Cuál es el índice del primer componente principal en el que ve el sentido opuesto de correlación con su argumento? </w:t>
      </w:r>
    </w:p>
    <w:sectPr w:rsidR="00EE15C0">
      <w:pgSz w:w="11908" w:h="16836"/>
      <w:pgMar w:top="1440" w:right="1079" w:bottom="1440" w:left="108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F3A7E"/>
    <w:multiLevelType w:val="hybridMultilevel"/>
    <w:tmpl w:val="4FE6B20A"/>
    <w:lvl w:ilvl="0" w:tplc="9D80CFCE">
      <w:start w:val="1"/>
      <w:numFmt w:val="decimal"/>
      <w:lvlText w:val="%1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93AF102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6622602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1B06830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1063FF4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47C7D24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336BD24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F8CFD88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0B2EAC6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3252380E"/>
    <w:multiLevelType w:val="hybridMultilevel"/>
    <w:tmpl w:val="46ACAB36"/>
    <w:lvl w:ilvl="0" w:tplc="D41EFA7A">
      <w:start w:val="1"/>
      <w:numFmt w:val="decimal"/>
      <w:lvlText w:val="%1."/>
      <w:lvlJc w:val="left"/>
      <w:pPr>
        <w:ind w:left="4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DC6F06C">
      <w:start w:val="1"/>
      <w:numFmt w:val="decimal"/>
      <w:lvlText w:val="%2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4B21834">
      <w:start w:val="1"/>
      <w:numFmt w:val="lowerRoman"/>
      <w:lvlText w:val="%3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39261F0">
      <w:start w:val="1"/>
      <w:numFmt w:val="decimal"/>
      <w:lvlText w:val="%4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1A0E838">
      <w:start w:val="1"/>
      <w:numFmt w:val="lowerLetter"/>
      <w:lvlText w:val="%5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77E085A">
      <w:start w:val="1"/>
      <w:numFmt w:val="lowerRoman"/>
      <w:lvlText w:val="%6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0D0D706">
      <w:start w:val="1"/>
      <w:numFmt w:val="decimal"/>
      <w:lvlText w:val="%7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7ECF138">
      <w:start w:val="1"/>
      <w:numFmt w:val="lowerLetter"/>
      <w:lvlText w:val="%8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08CFCBC">
      <w:start w:val="1"/>
      <w:numFmt w:val="lowerRoman"/>
      <w:lvlText w:val="%9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15C0"/>
    <w:rsid w:val="005960DA"/>
    <w:rsid w:val="00654AFA"/>
    <w:rsid w:val="00A06628"/>
    <w:rsid w:val="00A6621C"/>
    <w:rsid w:val="00EE1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3" w:line="260" w:lineRule="auto"/>
      <w:ind w:left="10" w:hanging="10"/>
      <w:jc w:val="both"/>
    </w:pPr>
    <w:rPr>
      <w:rFonts w:ascii="Arial" w:eastAsia="Arial" w:hAnsi="Arial" w:cs="Arial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960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960DA"/>
    <w:rPr>
      <w:rFonts w:ascii="Tahoma" w:eastAsia="Arial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3" w:line="260" w:lineRule="auto"/>
      <w:ind w:left="10" w:hanging="10"/>
      <w:jc w:val="both"/>
    </w:pPr>
    <w:rPr>
      <w:rFonts w:ascii="Arial" w:eastAsia="Arial" w:hAnsi="Arial" w:cs="Arial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960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960DA"/>
    <w:rPr>
      <w:rFonts w:ascii="Tahoma" w:eastAsia="Arial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3" Type="http://schemas.microsoft.com/office/2007/relationships/stylesWithEffects" Target="stylesWithEffects.xml"/><Relationship Id="rId7" Type="http://schemas.openxmlformats.org/officeDocument/2006/relationships/image" Target="media/image2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265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PC02</dc:creator>
  <cp:keywords/>
  <cp:lastModifiedBy>PC02</cp:lastModifiedBy>
  <cp:revision>4</cp:revision>
  <dcterms:created xsi:type="dcterms:W3CDTF">2018-06-21T03:55:00Z</dcterms:created>
  <dcterms:modified xsi:type="dcterms:W3CDTF">2018-06-21T16:49:00Z</dcterms:modified>
</cp:coreProperties>
</file>