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Your Friendly Neighbourhood</w:t>
      </w:r>
    </w:p>
    <w:p>
      <w:r>
        <w:rPr>
          <w:rFonts w:ascii="Aptos Display" w:hAnsi="Aptos Display"/>
          <w:b/>
          <w:color w:val="1F2937"/>
          <w:sz w:val="40"/>
        </w:rPr>
        <w:t>Software and Data Requirements Specification</w:t>
      </w:r>
    </w:p>
    <w:p>
      <w:r>
        <w:t>A two-iteration implementation plan for a renter-focused Greater Melbourne SA2 comparison website.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70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Version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1.0</w:t>
            </w:r>
          </w:p>
        </w:tc>
      </w:tr>
      <w:tr>
        <w:tc>
          <w:tcPr>
            <w:tcW w:type="dxa" w:w="25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Status</w:t>
            </w:r>
          </w:p>
        </w:tc>
        <w:tc>
          <w:tcPr>
            <w:tcW w:type="dxa" w:w="705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Proposed baseline for team approval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Date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6 September 2026</w:t>
            </w:r>
          </w:p>
        </w:tc>
      </w:tr>
      <w:tr>
        <w:tc>
          <w:tcPr>
            <w:tcW w:type="dxa" w:w="25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Project</w:t>
            </w:r>
          </w:p>
        </w:tc>
        <w:tc>
          <w:tcPr>
            <w:tcW w:type="dxa" w:w="705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Your Friendly Neighbourhood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Primary audience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Renters unfamiliar with Melbourne</w:t>
            </w:r>
          </w:p>
        </w:tc>
      </w:tr>
      <w:tr>
        <w:tc>
          <w:tcPr>
            <w:tcW w:type="dxa" w:w="25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SDG</w:t>
            </w:r>
          </w:p>
        </w:tc>
        <w:tc>
          <w:tcPr>
            <w:tcW w:type="dxa" w:w="705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Goal 11 Sustainable Cities and Communities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Delivery model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Two iterations using GitHub and Render</w:t>
            </w:r>
          </w:p>
        </w:tc>
      </w:tr>
    </w:tbl>
    <w:p>
      <w:pPr>
        <w:spacing w:after="0"/>
      </w:pPr>
    </w:p>
    <w:p/>
    <w:p>
      <w:r>
        <w:rPr>
          <w:b/>
        </w:rPr>
        <w:t>Decision requested from the team</w:t>
      </w:r>
      <w:r>
        <w:t>: approve the scope, datasets, formulas, schema and Iteration 1 acceptance conditions before development begins.</w:t>
      </w:r>
    </w:p>
    <w:p>
      <w:r>
        <w:br w:type="page"/>
      </w:r>
    </w:p>
    <w:p>
      <w:pPr>
        <w:pStyle w:val="Heading1"/>
      </w:pPr>
      <w:r>
        <w:t>1 Purpose and baseline</w:t>
      </w:r>
    </w:p>
    <w:p>
      <w:r>
        <w:t>This specification replaces earlier UrbanLens Melbourne and planner-focused requirements. The approved product name is Your Friendly Neighbourhood and the primary user is a renter who is unfamiliar with Melbourne, including a new immigrant, international student or interstate migrant. The three current wireframes are the Iteration 1 user-interface baseline.</w:t>
      </w:r>
    </w:p>
    <w:p>
      <w:pPr>
        <w:pStyle w:val="Heading2"/>
      </w:pPr>
      <w:r>
        <w:t>1.1 Product objective</w:t>
      </w:r>
    </w:p>
    <w:p>
      <w:r>
        <w:t>Provide a simple starting point for comparing two or three Greater Melbourne Statistical Areas Level 2 using rent, public transport access, recent population change and green-space provision. The product helps users identify trade-offs and decide which areas to investigate further.</w:t>
      </w:r>
    </w:p>
    <w:p>
      <w:pPr>
        <w:pStyle w:val="Heading2"/>
      </w:pPr>
      <w:r>
        <w:t>1.2 Product boundaries</w:t>
      </w:r>
    </w:p>
    <w:p>
      <w:pPr>
        <w:pStyle w:val="ListBullet"/>
      </w:pPr>
      <w:r>
        <w:t>The product compares SA2s, not individual properties or exact suburb boundaries.</w:t>
      </w:r>
    </w:p>
    <w:p>
      <w:pPr>
        <w:pStyle w:val="ListBullet"/>
      </w:pPr>
      <w:r>
        <w:t>It does not rank areas or recommend a best place to live.</w:t>
      </w:r>
    </w:p>
    <w:p>
      <w:pPr>
        <w:pStyle w:val="ListBullet"/>
      </w:pPr>
      <w:r>
        <w:t>It does not provide financial, tenancy, safety or migration advice.</w:t>
      </w:r>
    </w:p>
    <w:p>
      <w:pPr>
        <w:pStyle w:val="ListBullet"/>
      </w:pPr>
      <w:r>
        <w:t>It requires no login and stores no personal information.</w:t>
      </w:r>
    </w:p>
    <w:p>
      <w:pPr>
        <w:pStyle w:val="ListBullet"/>
      </w:pPr>
      <w:r>
        <w:t>It does not include a map in either iteration unless the team formally changes the approved scope.</w:t>
      </w:r>
    </w:p>
    <w:p>
      <w:pPr>
        <w:pStyle w:val="ListBullet"/>
      </w:pPr>
      <w:r>
        <w:t>Source years, calculations, missing data and limitations must remain visible.</w:t>
      </w:r>
    </w:p>
    <w:p>
      <w:pPr>
        <w:pStyle w:val="Heading2"/>
      </w:pPr>
      <w:r>
        <w:t>1.3 Primary user needs</w:t>
      </w:r>
    </w:p>
    <w:p>
      <w:pPr>
        <w:pStyle w:val="ListBullet"/>
      </w:pPr>
      <w:r>
        <w:t>Search for a familiar Melbourne area name and recognise its corresponding SA2.</w:t>
      </w:r>
    </w:p>
    <w:p>
      <w:pPr>
        <w:pStyle w:val="ListBullet"/>
      </w:pPr>
      <w:r>
        <w:t>Compare the same measures across two or three areas.</w:t>
      </w:r>
    </w:p>
    <w:p>
      <w:pPr>
        <w:pStyle w:val="ListBullet"/>
      </w:pPr>
      <w:r>
        <w:t>Understand what each value means without statistical expertise.</w:t>
      </w:r>
    </w:p>
    <w:p>
      <w:pPr>
        <w:pStyle w:val="ListBullet"/>
      </w:pPr>
      <w:r>
        <w:t>See recent population change and evidence behind each result.</w:t>
      </w:r>
    </w:p>
    <w:p>
      <w:pPr>
        <w:pStyle w:val="ListBullet"/>
      </w:pPr>
      <w:r>
        <w:t>Continue external research before making a rental decision.</w:t>
      </w:r>
    </w:p>
    <w:p>
      <w:pPr>
        <w:pStyle w:val="Heading2"/>
      </w:pPr>
      <w:r>
        <w:t>1.4 Success measures</w:t>
      </w:r>
    </w:p>
    <w:p>
      <w:pPr>
        <w:pStyle w:val="ListBullet"/>
      </w:pPr>
      <w:r>
        <w:t>A test user can complete Home to Compare to Area Details without assistance.</w:t>
      </w:r>
    </w:p>
    <w:p>
      <w:pPr>
        <w:pStyle w:val="ListBullet"/>
      </w:pPr>
      <w:r>
        <w:t>A test user can identify at least one meaningful trade-off between two SA2s.</w:t>
      </w:r>
    </w:p>
    <w:p>
      <w:pPr>
        <w:pStyle w:val="ListBullet"/>
      </w:pPr>
      <w:r>
        <w:t>Every displayed value has a source, reference period, unit and plain-language explanation.</w:t>
      </w:r>
    </w:p>
    <w:p>
      <w:pPr>
        <w:pStyle w:val="ListBullet"/>
      </w:pPr>
      <w:r>
        <w:t>No critical calculation, API, accessibility or deployment defect remains at release.</w:t>
      </w:r>
    </w:p>
    <w:p>
      <w:r>
        <w:br w:type="page"/>
      </w:r>
    </w:p>
    <w:p>
      <w:pPr>
        <w:pStyle w:val="Heading1"/>
      </w:pPr>
      <w:r>
        <w:t>2 Iteration scope</w:t>
      </w:r>
    </w:p>
    <w:p>
      <w:r>
        <w:t>Each iteration must be a usable, deployed product. Because the approved Iteration 1 wireframes display all four indicators, Iteration 1 requires the complete baseline data pipeline rather than population and housing alone.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Iteration 1 baseline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Iteration 2 improvement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Pages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Home, Compare Areas and Area Details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Refine the same journey; add no new page unless justified by testing</w:t>
            </w:r>
          </w:p>
        </w:tc>
      </w:tr>
      <w:tr>
        <w:tc>
          <w:tcPr>
            <w:tcW w:type="dxa" w:w="144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Coverage</w:t>
            </w:r>
          </w:p>
        </w:tc>
        <w:tc>
          <w:tcPr>
            <w:tcW w:type="dxa" w:w="417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Eligible Greater Melbourne SA2s with sufficient source coverage</w:t>
            </w:r>
          </w:p>
        </w:tc>
        <w:tc>
          <w:tcPr>
            <w:tcW w:type="dxa" w:w="417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Resolve coverage gaps and improve area-name search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Comparison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Select and compare two or three SA2s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Improve responsive comparison and change selected areas more easily</w:t>
            </w:r>
          </w:p>
        </w:tc>
      </w:tr>
      <w:tr>
        <w:tc>
          <w:tcPr>
            <w:tcW w:type="dxa" w:w="144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Indicators</w:t>
            </w:r>
          </w:p>
        </w:tc>
        <w:tc>
          <w:tcPr>
            <w:tcW w:type="dxa" w:w="417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Median weekly rent, transport score, recent population growth and green space per resident</w:t>
            </w:r>
          </w:p>
        </w:tc>
        <w:tc>
          <w:tcPr>
            <w:tcW w:type="dxa" w:w="417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Improve explanations, quality flags and trend presentation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Evidence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Source, year, unit and limitation for each result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Method version, data freshness and richer source detail</w:t>
            </w:r>
          </w:p>
        </w:tc>
      </w:tr>
      <w:tr>
        <w:tc>
          <w:tcPr>
            <w:tcW w:type="dxa" w:w="144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Quality</w:t>
            </w:r>
          </w:p>
        </w:tc>
        <w:tc>
          <w:tcPr>
            <w:tcW w:type="dxa" w:w="417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Core functional, data, API and accessibility tests</w:t>
            </w:r>
          </w:p>
        </w:tc>
        <w:tc>
          <w:tcPr>
            <w:tcW w:type="dxa" w:w="417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Broader device, usability, performance and security testing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Deployment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Public Render deployment from GitHub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Harden CI/CD, monitoring, recovery and release documentation</w:t>
            </w:r>
          </w:p>
        </w:tc>
      </w:tr>
    </w:tbl>
    <w:p>
      <w:pPr>
        <w:spacing w:after="0"/>
      </w:pPr>
    </w:p>
    <w:p>
      <w:pPr>
        <w:pStyle w:val="Heading2"/>
      </w:pPr>
      <w:r>
        <w:t>2.1 Out of scope</w:t>
      </w:r>
    </w:p>
    <w:p>
      <w:pPr>
        <w:pStyle w:val="ListBullet"/>
      </w:pPr>
      <w:r>
        <w:t>User accounts, saved favourites, forums, reviews or personal profiles.</w:t>
      </w:r>
    </w:p>
    <w:p>
      <w:pPr>
        <w:pStyle w:val="ListBullet"/>
      </w:pPr>
      <w:r>
        <w:t>Property listings, rental applications, route planning or live transport information.</w:t>
      </w:r>
    </w:p>
    <w:p>
      <w:pPr>
        <w:pStyle w:val="ListBullet"/>
      </w:pPr>
      <w:r>
        <w:t>Machine-learning forecasts, neighbourhood rankings or a combined overall score.</w:t>
      </w:r>
    </w:p>
    <w:p>
      <w:pPr>
        <w:pStyle w:val="ListBullet"/>
      </w:pPr>
      <w:r>
        <w:t>Redis, a writable production database or runtime modification of the packaged SQLite file.</w:t>
      </w:r>
    </w:p>
    <w:p>
      <w:pPr>
        <w:pStyle w:val="Heading2"/>
      </w:pPr>
      <w:r>
        <w:t>2.2 Required iteration sequencing</w:t>
      </w:r>
    </w:p>
    <w:p>
      <w:pPr>
        <w:ind w:left="346" w:hanging="346"/>
      </w:pPr>
      <w:r>
        <w:t>1.  Freeze field definitions, formulas, source versions and eligible-area rules.</w:t>
      </w:r>
    </w:p>
    <w:p>
      <w:pPr>
        <w:ind w:left="346" w:hanging="346"/>
      </w:pPr>
      <w:r>
        <w:t>2.  Build and validate the complete offline data pipeline.</w:t>
      </w:r>
    </w:p>
    <w:p>
      <w:pPr>
        <w:ind w:left="346" w:hanging="346"/>
      </w:pPr>
      <w:r>
        <w:t>3.  Populate the read-only SQLite database and agree the API response contract.</w:t>
      </w:r>
    </w:p>
    <w:p>
      <w:pPr>
        <w:ind w:left="346" w:hanging="346"/>
      </w:pPr>
      <w:r>
        <w:t>4.  Build the three pages against sample JSON, then connect the real API.</w:t>
      </w:r>
    </w:p>
    <w:p>
      <w:pPr>
        <w:ind w:left="346" w:hanging="346"/>
      </w:pPr>
      <w:r>
        <w:t>5.  Deploy a complete Iteration 1 journey and collect feedback.</w:t>
      </w:r>
    </w:p>
    <w:p>
      <w:pPr>
        <w:ind w:left="346" w:hanging="346"/>
      </w:pPr>
      <w:r>
        <w:t>6.  Use feedback and test evidence to select Iteration 2 refinements.</w:t>
      </w:r>
    </w:p>
    <w:p>
      <w:r>
        <w:br w:type="page"/>
      </w:r>
    </w:p>
    <w:p>
      <w:pPr>
        <w:pStyle w:val="Heading1"/>
      </w:pPr>
      <w:r>
        <w:t>3 Functional requirements</w:t>
      </w:r>
    </w:p>
    <w:p>
      <w:pPr>
        <w:pStyle w:val="Heading2"/>
      </w:pPr>
      <w:r>
        <w:t>3.1 Home page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condition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FR-01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Present the project name, renter-focused purpose and SA2 boundary warning.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Content matches the approved Home wireframe and is readable on desktop and mobile.</w:t>
            </w:r>
          </w:p>
        </w:tc>
      </w:tr>
      <w:tr>
        <w:tc>
          <w:tcPr>
            <w:tcW w:type="dxa" w:w="93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FR-02</w:t>
            </w:r>
          </w:p>
        </w:tc>
        <w:tc>
          <w:tcPr>
            <w:tcW w:type="dxa" w:w="43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Search eligible Greater Melbourne SA2s by area name.</w:t>
            </w:r>
          </w:p>
        </w:tc>
        <w:tc>
          <w:tcPr>
            <w:tcW w:type="dxa" w:w="446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Results appear for partial, case-insensitive input and show unique SA2 names.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FR-03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Start a comparison from the selected area.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The selected SA2 is carried to the Compare page.</w:t>
            </w:r>
          </w:p>
        </w:tc>
      </w:tr>
      <w:tr>
        <w:tc>
          <w:tcPr>
            <w:tcW w:type="dxa" w:w="93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FR-04</w:t>
            </w:r>
          </w:p>
        </w:tc>
        <w:tc>
          <w:tcPr>
            <w:tcW w:type="dxa" w:w="43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Show four comparison categories.</w:t>
            </w:r>
          </w:p>
        </w:tc>
        <w:tc>
          <w:tcPr>
            <w:tcW w:type="dxa" w:w="446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Rent and housing, public transport, population change and green space are present.</w:t>
            </w:r>
          </w:p>
        </w:tc>
      </w:tr>
    </w:tbl>
    <w:p>
      <w:pPr>
        <w:spacing w:after="0"/>
      </w:pPr>
    </w:p>
    <w:p>
      <w:pPr>
        <w:pStyle w:val="Heading2"/>
      </w:pPr>
      <w:r>
        <w:t>3.2 Compare Areas page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condition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FR-05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Add or remove SA2s and compare two or three areas.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Duplicate areas are prevented and a maximum of three is enforced.</w:t>
            </w:r>
          </w:p>
        </w:tc>
      </w:tr>
      <w:tr>
        <w:tc>
          <w:tcPr>
            <w:tcW w:type="dxa" w:w="93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FR-06</w:t>
            </w:r>
          </w:p>
        </w:tc>
        <w:tc>
          <w:tcPr>
            <w:tcW w:type="dxa" w:w="43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Show each area using identical measures and units.</w:t>
            </w:r>
          </w:p>
        </w:tc>
        <w:tc>
          <w:tcPr>
            <w:tcW w:type="dxa" w:w="446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Each selected SA2 displays rent, transport, population growth and green-space values.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FR-07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Explain each comparison measure.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The What it means column uses concise, consistent wording.</w:t>
            </w:r>
          </w:p>
        </w:tc>
      </w:tr>
      <w:tr>
        <w:tc>
          <w:tcPr>
            <w:tcW w:type="dxa" w:w="93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FR-08</w:t>
            </w:r>
          </w:p>
        </w:tc>
        <w:tc>
          <w:tcPr>
            <w:tcW w:type="dxa" w:w="43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Represent missing values honestly.</w:t>
            </w:r>
          </w:p>
        </w:tc>
        <w:tc>
          <w:tcPr>
            <w:tcW w:type="dxa" w:w="446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Missing or insufficient data displays Not available and never displays zero by substitution.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FR-09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Open Area Details for a compared SA2.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The correct SA2 code is used and the comparison can be revisited.</w:t>
            </w:r>
          </w:p>
        </w:tc>
      </w:tr>
    </w:tbl>
    <w:p>
      <w:pPr>
        <w:spacing w:after="0"/>
      </w:pPr>
    </w:p>
    <w:p>
      <w:pPr>
        <w:pStyle w:val="Heading2"/>
      </w:pPr>
      <w:r>
        <w:t>3.3 Area Details page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condition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FR-10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Show the selected SA2 identity and boundary disclaimer.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The page displays the requested SA2 code/name and explains that SA2 is not necessarily a suburb.</w:t>
            </w:r>
          </w:p>
        </w:tc>
      </w:tr>
      <w:tr>
        <w:tc>
          <w:tcPr>
            <w:tcW w:type="dxa" w:w="93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FR-11</w:t>
            </w:r>
          </w:p>
        </w:tc>
        <w:tc>
          <w:tcPr>
            <w:tcW w:type="dxa" w:w="43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Show four indicator cards.</w:t>
            </w:r>
          </w:p>
        </w:tc>
        <w:tc>
          <w:tcPr>
            <w:tcW w:type="dxa" w:w="446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Each card displays value, unit, reference period, source and interpretation.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FR-12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Show recent annual population values as a trend.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The chart uses real years and values; a five-year change uses 2020 to 2025, including six annual observations.</w:t>
            </w:r>
          </w:p>
        </w:tc>
      </w:tr>
      <w:tr>
        <w:tc>
          <w:tcPr>
            <w:tcW w:type="dxa" w:w="93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FR-13</w:t>
            </w:r>
          </w:p>
        </w:tc>
        <w:tc>
          <w:tcPr>
            <w:tcW w:type="dxa" w:w="43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Provide navigation back to comparison.</w:t>
            </w:r>
          </w:p>
        </w:tc>
        <w:tc>
          <w:tcPr>
            <w:tcW w:type="dxa" w:w="446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The user can return without losing valid selected areas.</w:t>
            </w:r>
          </w:p>
        </w:tc>
      </w:tr>
    </w:tbl>
    <w:p>
      <w:pPr>
        <w:spacing w:after="0"/>
      </w:pPr>
    </w:p>
    <w:p>
      <w:pPr>
        <w:pStyle w:val="Heading2"/>
      </w:pPr>
      <w:r>
        <w:t>3.4 Supporting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Acceptance condition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FR-14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Explain how the product works in plain language.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 short explanation covers SA2 selection, relative transport scores and limitations.</w:t>
            </w:r>
          </w:p>
        </w:tc>
      </w:tr>
      <w:tr>
        <w:tc>
          <w:tcPr>
            <w:tcW w:type="dxa" w:w="93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FR-15</w:t>
            </w:r>
          </w:p>
        </w:tc>
        <w:tc>
          <w:tcPr>
            <w:tcW w:type="dxa" w:w="43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Present data-source information.</w:t>
            </w:r>
          </w:p>
        </w:tc>
        <w:tc>
          <w:tcPr>
            <w:tcW w:type="dxa" w:w="446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Publisher, dataset, reference period, URL, licence and key limitation are available.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FR-16</w:t>
            </w:r>
          </w:p>
        </w:tc>
        <w:tc>
          <w:tcPr>
            <w:tcW w:type="dxa" w:w="43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Do not imply personal suitability.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All comparison and details views state that results are a starting point, not a recommendation.</w:t>
            </w:r>
          </w:p>
        </w:tc>
      </w:tr>
    </w:tbl>
    <w:p>
      <w:pPr>
        <w:spacing w:after="0"/>
      </w:pPr>
    </w:p>
    <w:p>
      <w:pPr>
        <w:pStyle w:val="Heading1"/>
      </w:pPr>
      <w:r>
        <w:t>4 Data sources and acquisition plan</w:t>
      </w:r>
    </w:p>
    <w:p>
      <w:r>
        <w:t>The team should download and inspect all five sources at the beginning because transport and green-space preparation depend on compatible SA2 geometry. Raw files remain unchanged and are not served to website users.</w:t>
      </w:r>
    </w:p>
    <w:p>
      <w:r>
        <w:rPr>
          <w:b/>
        </w:rPr>
        <w:t>ABS Regional Population 2024-25</w:t>
      </w:r>
      <w:r>
        <w:br/>
        <w:t>File: 32180DS0003_2001-25.xlsx</w:t>
        <w:br/>
        <w:t>Use: SA2 annual estimated resident population, 2020-2025, growth calculation and chart.</w:t>
        <w:br/>
        <w:t>Limitation: Estimates may be revised; reference years and release must be recorded.</w:t>
        <w:br/>
      </w:r>
      <w:hyperlink r:id="rId11">
        <w:r>
          <w:rPr>
            <w:color w:val="0563C1"/>
            <w:u w:val="single"/>
          </w:rPr>
          <w:t>Source and download page</w:t>
        </w:r>
      </w:hyperlink>
    </w:p>
    <w:p>
      <w:r>
        <w:rPr>
          <w:b/>
        </w:rPr>
        <w:t>ABS 2021 Census General Community Profile for Victoria SA2</w:t>
      </w:r>
      <w:r>
        <w:br/>
        <w:t>File: 2021_GCP_SA2_for_VIC_short-header.zip; use G02 Selected medians and included metadata</w:t>
        <w:br/>
        <w:t>Use: SA2 median weekly rent for the baseline housing measure.</w:t>
        <w:br/>
        <w:t>Limitation: This is 2021 reported rent, not a current advertised market rent. UI wording must say so.</w:t>
        <w:br/>
      </w:r>
      <w:hyperlink r:id="rId12">
        <w:r>
          <w:rPr>
            <w:color w:val="0563C1"/>
            <w:u w:val="single"/>
          </w:rPr>
          <w:t>Source and download page</w:t>
        </w:r>
      </w:hyperlink>
    </w:p>
    <w:p>
      <w:r>
        <w:rPr>
          <w:b/>
        </w:rPr>
        <w:t>DataVic Public Transport Accessibility Level Melbourne metro</w:t>
      </w:r>
      <w:r>
        <w:br/>
        <w:t>File: PTALmetro SHP package</w:t>
        <w:br/>
        <w:t>Use: Spatial PTAL values aggregated to SA2 and converted to a relative transport score.</w:t>
        <w:br/>
        <w:t>Limitation: Area-weighted results may under-represent where residents actually live within large SA2s.</w:t>
        <w:br/>
      </w:r>
      <w:hyperlink r:id="rId13">
        <w:r>
          <w:rPr>
            <w:color w:val="0563C1"/>
            <w:u w:val="single"/>
          </w:rPr>
          <w:t>Source and download page</w:t>
        </w:r>
      </w:hyperlink>
    </w:p>
    <w:p>
      <w:r>
        <w:rPr>
          <w:b/>
        </w:rPr>
        <w:t>DataVic Metropolitan Melbourne Open Space</w:t>
      </w:r>
      <w:r>
        <w:br/>
        <w:t>File: Open Space GeoJSON, with SHP as fallback</w:t>
        <w:br/>
        <w:t>Use: Eligible open-space polygons intersected with SA2s to calculate square metres per resident.</w:t>
        <w:br/>
        <w:t>Limitation: The dataset is not maintained and includes restricted or private land; category filtering is mandatory.</w:t>
        <w:br/>
      </w:r>
      <w:hyperlink r:id="rId14">
        <w:r>
          <w:rPr>
            <w:color w:val="0563C1"/>
            <w:u w:val="single"/>
          </w:rPr>
          <w:t>Source and download page</w:t>
        </w:r>
      </w:hyperlink>
    </w:p>
    <w:p>
      <w:r>
        <w:rPr>
          <w:b/>
        </w:rPr>
        <w:t>ABS Statistical Areas Level 2 2021 boundaries</w:t>
      </w:r>
      <w:r>
        <w:br/>
        <w:t>File: SA2_2021_AUST_SHP_GDA2020.zip</w:t>
        <w:br/>
        <w:t>Use: Greater Melbourne filtering and offline spatial intersection for PTAL and open space.</w:t>
        <w:br/>
        <w:t>Limitation: Use the 2021 boundary edition to match Census and Regional Population geography; do not mix with 2026 SA2 codes.</w:t>
        <w:br/>
      </w:r>
      <w:hyperlink r:id="rId15">
        <w:r>
          <w:rPr>
            <w:color w:val="0563C1"/>
            <w:u w:val="single"/>
          </w:rPr>
          <w:t>Source and download page</w:t>
        </w:r>
      </w:hyperlink>
    </w:p>
    <w:p>
      <w:pPr>
        <w:pStyle w:val="Heading2"/>
      </w:pPr>
      <w:r>
        <w:t>4.1 Required data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78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Fields retained after review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SA2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SA2 code, SA2 name, GCCSA code/name, area square kilometres, geometry during processing</w:t>
            </w:r>
          </w:p>
        </w:tc>
      </w:tr>
      <w:tr>
        <w:tc>
          <w:tcPr>
            <w:tcW w:type="dxa" w:w="194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Population</w:t>
            </w:r>
          </w:p>
        </w:tc>
        <w:tc>
          <w:tcPr>
            <w:tcW w:type="dxa" w:w="784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SA2 code, year, estimated resident population for 2020-2025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Census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SA2 code, median weekly rent, reference year</w:t>
            </w:r>
          </w:p>
        </w:tc>
      </w:tr>
      <w:tr>
        <w:tc>
          <w:tcPr>
            <w:tcW w:type="dxa" w:w="194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PTAL</w:t>
            </w:r>
          </w:p>
        </w:tc>
        <w:tc>
          <w:tcPr>
            <w:tcW w:type="dxa" w:w="784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Geometry, PTAL numeric value/category, dataset year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Open space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Geometry, category, access/ownership classification, dataset year</w:t>
            </w:r>
          </w:p>
        </w:tc>
      </w:tr>
    </w:tbl>
    <w:p>
      <w:pPr>
        <w:spacing w:after="0"/>
      </w:pPr>
    </w:p>
    <w:p>
      <w:pPr>
        <w:pStyle w:val="Heading1"/>
      </w:pPr>
      <w:r>
        <w:t>5 Data preparation plan</w:t>
      </w:r>
    </w:p>
    <w:p>
      <w:pPr>
        <w:pStyle w:val="Heading2"/>
      </w:pPr>
      <w:r>
        <w:t>5.1 Repository data zones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Repository treatment</w:t>
            </w:r>
          </w:p>
        </w:tc>
      </w:tr>
      <w:tr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raw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Original downloads preserved unchanged</w:t>
            </w:r>
          </w:p>
        </w:tc>
        <w:tc>
          <w:tcPr>
            <w:tcW w:type="dxa" w:w="50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Exclude large source files from Git; retain download manifest, licence and checksum</w:t>
            </w:r>
          </w:p>
        </w:tc>
      </w:tr>
      <w:tr>
        <w:tc>
          <w:tcPr>
            <w:tcW w:type="dxa" w:w="122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staging</w:t>
            </w:r>
          </w:p>
        </w:tc>
        <w:tc>
          <w:tcPr>
            <w:tcW w:type="dxa" w:w="352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One cleaned, source-specific CSV or Parquet file</w:t>
            </w:r>
          </w:p>
        </w:tc>
        <w:tc>
          <w:tcPr>
            <w:tcW w:type="dxa" w:w="504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Generated output; useful for inspection and debugging</w:t>
            </w:r>
          </w:p>
        </w:tc>
      </w:tr>
      <w:tr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curated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One consistent SA2-level indicator dataset plus population history</w:t>
            </w:r>
          </w:p>
        </w:tc>
        <w:tc>
          <w:tcPr>
            <w:tcW w:type="dxa" w:w="50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Generated and validated before database load</w:t>
            </w:r>
          </w:p>
        </w:tc>
      </w:tr>
      <w:tr>
        <w:tc>
          <w:tcPr>
            <w:tcW w:type="dxa" w:w="122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database</w:t>
            </w:r>
          </w:p>
        </w:tc>
        <w:tc>
          <w:tcPr>
            <w:tcW w:type="dxa" w:w="352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Read-only SQLite application database</w:t>
            </w:r>
          </w:p>
        </w:tc>
        <w:tc>
          <w:tcPr>
            <w:tcW w:type="dxa" w:w="504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Package with backend if within repository size limits</w:t>
            </w:r>
          </w:p>
        </w:tc>
      </w:tr>
    </w:tbl>
    <w:p>
      <w:pPr>
        <w:spacing w:after="0"/>
      </w:pPr>
    </w:p>
    <w:p>
      <w:pPr>
        <w:pStyle w:val="Heading2"/>
      </w:pPr>
      <w:r>
        <w:t>5.2 Processing workflow</w:t>
      </w:r>
    </w:p>
    <w:p>
      <w:pPr>
        <w:ind w:left="346" w:hanging="346"/>
      </w:pPr>
      <w:r>
        <w:t>1.  Register each source URL, filename, licence, download date, reference period and checksum.</w:t>
      </w:r>
    </w:p>
    <w:p>
      <w:pPr>
        <w:ind w:left="346" w:hanging="346"/>
      </w:pPr>
      <w:r>
        <w:t>2.  Profile columns, types, missing values, duplicates, suppressed values, geometry validity and coordinate systems.</w:t>
      </w:r>
    </w:p>
    <w:p>
      <w:pPr>
        <w:ind w:left="346" w:hanging="346"/>
      </w:pPr>
      <w:r>
        <w:t>3.  Standardise names and types. Preserve SA2 codes as text so leading zeroes cannot be lost.</w:t>
      </w:r>
    </w:p>
    <w:p>
      <w:pPr>
        <w:ind w:left="346" w:hanging="346"/>
      </w:pPr>
      <w:r>
        <w:t>4.  Filter the 2021 SA2 boundary layer to Greater Melbourne using GCCSA code/name.</w:t>
      </w:r>
    </w:p>
    <w:p>
      <w:pPr>
        <w:ind w:left="346" w:hanging="346"/>
      </w:pPr>
      <w:r>
        <w:t>5.  Reproject spatial layers to a suitable projected coordinate system for area calculations.</w:t>
      </w:r>
    </w:p>
    <w:p>
      <w:pPr>
        <w:ind w:left="346" w:hanging="346"/>
      </w:pPr>
      <w:r>
        <w:t>6.  Intersect PTAL and eligible open-space polygons with SA2 boundaries and calculate coverage measures.</w:t>
      </w:r>
    </w:p>
    <w:p>
      <w:pPr>
        <w:ind w:left="346" w:hanging="346"/>
      </w:pPr>
      <w:r>
        <w:t>7.  Dissolve overlapping open-space polygons before summing area to avoid double counting.</w:t>
      </w:r>
    </w:p>
    <w:p>
      <w:pPr>
        <w:ind w:left="346" w:hanging="346"/>
      </w:pPr>
      <w:r>
        <w:t>8.  Join source-specific results through 2021 SA2 code and calculate the approved indicators.</w:t>
      </w:r>
    </w:p>
    <w:p>
      <w:pPr>
        <w:ind w:left="346" w:hanging="346"/>
      </w:pPr>
      <w:r>
        <w:t>9.  Assign null and a data-quality status where evidence is missing or coverage is insufficient; never substitute zero.</w:t>
      </w:r>
    </w:p>
    <w:p>
      <w:pPr>
        <w:ind w:left="346" w:hanging="346"/>
      </w:pPr>
      <w:r>
        <w:t>10.  Load the curated results into a newly created SQLite database using parameterised bulk operations in a transaction.</w:t>
      </w:r>
    </w:p>
    <w:p>
      <w:pPr>
        <w:ind w:left="346" w:hanging="346"/>
      </w:pPr>
      <w:r>
        <w:t>11.  Run validation tests and compare a sample of SA2 results with the original files.</w:t>
      </w:r>
    </w:p>
    <w:p>
      <w:pPr>
        <w:pStyle w:val="Heading2"/>
      </w:pPr>
      <w:r>
        <w:t>5.3 Repeatability</w:t>
      </w:r>
    </w:p>
    <w:p>
      <w:r>
        <w:t>The pipeline must be executable by documented Python commands and produce the same database from the same source versions. Scripts should be source-specific, testable and idempotent. Manual spreadsheet editing must not be part of the production workflow.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Suggested command</w:t>
            </w:r>
          </w:p>
        </w:tc>
        <w:tc>
          <w:tcPr>
            <w:tcW w:type="dxa" w:w="59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8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python scripts/profile_sources.py</w:t>
            </w:r>
          </w:p>
        </w:tc>
        <w:tc>
          <w:tcPr>
            <w:tcW w:type="dxa" w:w="59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Generate source structure and data-quality summaries</w:t>
            </w:r>
          </w:p>
        </w:tc>
      </w:tr>
      <w:tr>
        <w:tc>
          <w:tcPr>
            <w:tcW w:type="dxa" w:w="381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python scripts/prepare_population.py</w:t>
            </w:r>
          </w:p>
        </w:tc>
        <w:tc>
          <w:tcPr>
            <w:tcW w:type="dxa" w:w="597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Create annual SA2 population staging data</w:t>
            </w:r>
          </w:p>
        </w:tc>
      </w:tr>
      <w:tr>
        <w:tc>
          <w:tcPr>
            <w:tcW w:type="dxa" w:w="38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python scripts/prepare_census.py</w:t>
            </w:r>
          </w:p>
        </w:tc>
        <w:tc>
          <w:tcPr>
            <w:tcW w:type="dxa" w:w="59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Create SA2 rent staging data</w:t>
            </w:r>
          </w:p>
        </w:tc>
      </w:tr>
      <w:tr>
        <w:tc>
          <w:tcPr>
            <w:tcW w:type="dxa" w:w="381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python scripts/prepare_ptal.py</w:t>
            </w:r>
          </w:p>
        </w:tc>
        <w:tc>
          <w:tcPr>
            <w:tcW w:type="dxa" w:w="597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Create SA2 PTAL aggregation</w:t>
            </w:r>
          </w:p>
        </w:tc>
      </w:tr>
      <w:tr>
        <w:tc>
          <w:tcPr>
            <w:tcW w:type="dxa" w:w="38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python scripts/prepare_open_space.py</w:t>
            </w:r>
          </w:p>
        </w:tc>
        <w:tc>
          <w:tcPr>
            <w:tcW w:type="dxa" w:w="59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Create SA2 open-space aggregation</w:t>
            </w:r>
          </w:p>
        </w:tc>
      </w:tr>
      <w:tr>
        <w:tc>
          <w:tcPr>
            <w:tcW w:type="dxa" w:w="381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python scripts/build_database.py</w:t>
            </w:r>
          </w:p>
        </w:tc>
        <w:tc>
          <w:tcPr>
            <w:tcW w:type="dxa" w:w="597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Validate curated data and recreate SQLite</w:t>
            </w:r>
          </w:p>
        </w:tc>
      </w:tr>
    </w:tbl>
    <w:p>
      <w:pPr>
        <w:spacing w:after="0"/>
      </w:pPr>
    </w:p>
    <w:p>
      <w:pPr>
        <w:pStyle w:val="Heading1"/>
      </w:pPr>
      <w:r>
        <w:t>6 Business logic</w:t>
      </w:r>
    </w:p>
    <w:p>
      <w:pPr>
        <w:pStyle w:val="Heading2"/>
      </w:pPr>
      <w:r>
        <w:t>6.1 Eligible area universe</w:t>
      </w:r>
    </w:p>
    <w:p>
      <w:pPr>
        <w:pStyle w:val="ListBullet"/>
      </w:pPr>
      <w:r>
        <w:t>Use 2021 SA2 codes whose GCCSA is Greater Melbourne.</w:t>
      </w:r>
    </w:p>
    <w:p>
      <w:pPr>
        <w:pStyle w:val="ListBullet"/>
      </w:pPr>
      <w:r>
        <w:t>Exclude non-spatial special-purpose records and areas with zero population.</w:t>
      </w:r>
    </w:p>
    <w:p>
      <w:pPr>
        <w:pStyle w:val="ListBullet"/>
      </w:pPr>
      <w:r>
        <w:t>Retain an area only when its identity and population are valid; individual indicators may still be null.</w:t>
      </w:r>
    </w:p>
    <w:p>
      <w:pPr>
        <w:pStyle w:val="ListBullet"/>
      </w:pPr>
      <w:r>
        <w:t>Calculate percentiles against the same eligible-area universe and record the method version.</w:t>
      </w:r>
    </w:p>
    <w:p>
      <w:pPr>
        <w:pStyle w:val="Heading2"/>
      </w:pPr>
      <w:r>
        <w:t>6.2 Indicator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Indicator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Displayed calculation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Display rule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Median weekly rent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2021 Census median weekly rent for the SA2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Show dollars per week and 2021. Do not label as current advertised rent.</w:t>
            </w:r>
          </w:p>
        </w:tc>
      </w:tr>
      <w:tr>
        <w:tc>
          <w:tcPr>
            <w:tcW w:type="dxa" w:w="187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Recent population growth</w:t>
            </w:r>
          </w:p>
        </w:tc>
        <w:tc>
          <w:tcPr>
            <w:tcW w:type="dxa" w:w="388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((ERP 2025 - ERP 2020) / ERP 2020) x 100</w:t>
            </w:r>
          </w:p>
        </w:tc>
        <w:tc>
          <w:tcPr>
            <w:tcW w:type="dxa" w:w="403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Show percentage, start/end years and annual values from 2020 through 2025.</w:t>
            </w:r>
          </w:p>
        </w:tc>
      </w:tr>
      <w:t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Transport access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Area-weighted mean PTAL, then percentile rank across eligible SA2s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Round score to integer 0-100 and show rating plus source year.</w:t>
            </w:r>
          </w:p>
        </w:tc>
      </w:tr>
      <w:tr>
        <w:tc>
          <w:tcPr>
            <w:tcW w:type="dxa" w:w="187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Green space per resident</w:t>
            </w:r>
          </w:p>
        </w:tc>
        <w:tc>
          <w:tcPr>
            <w:tcW w:type="dxa" w:w="388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Eligible public open-space square metres intersecting the SA2 / ERP 2025</w:t>
            </w:r>
          </w:p>
        </w:tc>
        <w:tc>
          <w:tcPr>
            <w:tcW w:type="dxa" w:w="403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Show square metres per person and source/population years.</w:t>
            </w:r>
          </w:p>
        </w:tc>
      </w:tr>
    </w:tbl>
    <w:p>
      <w:pPr>
        <w:spacing w:after="0"/>
      </w:pPr>
    </w:p>
    <w:p>
      <w:pPr>
        <w:pStyle w:val="Heading2"/>
      </w:pPr>
      <w:r>
        <w:t>6.3 Transport ratings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6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0-24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Limited access</w:t>
            </w:r>
          </w:p>
        </w:tc>
        <w:tc>
          <w:tcPr>
            <w:tcW w:type="dxa" w:w="64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Lower relative PTAL result among eligible Greater Melbourne SA2s</w:t>
            </w:r>
          </w:p>
        </w:tc>
      </w:tr>
      <w:tr>
        <w:tc>
          <w:tcPr>
            <w:tcW w:type="dxa" w:w="115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25-49</w:t>
            </w:r>
          </w:p>
        </w:tc>
        <w:tc>
          <w:tcPr>
            <w:tcW w:type="dxa" w:w="223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Moderate access</w:t>
            </w:r>
          </w:p>
        </w:tc>
        <w:tc>
          <w:tcPr>
            <w:tcW w:type="dxa" w:w="640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Below the middle of the eligible comparison set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50-74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Stronger access</w:t>
            </w:r>
          </w:p>
        </w:tc>
        <w:tc>
          <w:tcPr>
            <w:tcW w:type="dxa" w:w="64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Above the middle of the eligible comparison set</w:t>
            </w:r>
          </w:p>
        </w:tc>
      </w:tr>
      <w:tr>
        <w:tc>
          <w:tcPr>
            <w:tcW w:type="dxa" w:w="115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75-100</w:t>
            </w:r>
          </w:p>
        </w:tc>
        <w:tc>
          <w:tcPr>
            <w:tcW w:type="dxa" w:w="223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Very strong access</w:t>
            </w:r>
          </w:p>
        </w:tc>
        <w:tc>
          <w:tcPr>
            <w:tcW w:type="dxa" w:w="640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Highest relative PTAL result within the eligible comparison set</w:t>
            </w:r>
          </w:p>
        </w:tc>
      </w:tr>
    </w:tbl>
    <w:p>
      <w:pPr>
        <w:spacing w:after="0"/>
      </w:pPr>
    </w:p>
    <w:p>
      <w:pPr>
        <w:pStyle w:val="Heading2"/>
      </w:pPr>
      <w:r>
        <w:t>6.4 Data-quality rules</w:t>
      </w:r>
    </w:p>
    <w:p>
      <w:pPr>
        <w:pStyle w:val="ListBullet"/>
      </w:pPr>
      <w:r>
        <w:t>Missing, suppressed, invalid or insufficient-coverage values are null, not zero.</w:t>
      </w:r>
    </w:p>
    <w:p>
      <w:pPr>
        <w:pStyle w:val="ListBullet"/>
      </w:pPr>
      <w:r>
        <w:t>Every API result includes source year and quality status: available, limited or unavailable.</w:t>
      </w:r>
    </w:p>
    <w:p>
      <w:pPr>
        <w:pStyle w:val="ListBullet"/>
      </w:pPr>
      <w:r>
        <w:t>Transport scores are relative and must not be presented as travel time or service frequency.</w:t>
      </w:r>
    </w:p>
    <w:p>
      <w:pPr>
        <w:pStyle w:val="ListBullet"/>
      </w:pPr>
      <w:r>
        <w:t>Green-space area excludes categories the team cannot justify as publicly accessible.</w:t>
      </w:r>
    </w:p>
    <w:p>
      <w:pPr>
        <w:pStyle w:val="ListBullet"/>
      </w:pPr>
      <w:r>
        <w:t>No overall neighbourhood score is calculated.</w:t>
      </w:r>
    </w:p>
    <w:p>
      <w:pPr>
        <w:pStyle w:val="ListBullet"/>
      </w:pPr>
      <w:r>
        <w:t>Formulas and thresholds are versioned and tested with known examples.</w:t>
      </w:r>
    </w:p>
    <w:p>
      <w:pPr>
        <w:pStyle w:val="Heading1"/>
      </w:pPr>
      <w:r>
        <w:t>7 Recommended SQLite schema</w:t>
      </w:r>
    </w:p>
    <w:p>
      <w:r>
        <w:t>The schema separates area identity, reusable indicator metadata, observations, population history and provenance. A database view provides the simple record shape required by the API.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45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area</w:t>
            </w:r>
          </w:p>
        </w:tc>
        <w:tc>
          <w:tcPr>
            <w:tcW w:type="dxa" w:w="45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sa2_code PK; sa2_name; gccsa_code; gccsa_name; area_sq_km; is_eligible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Area search and identity</w:t>
            </w:r>
          </w:p>
        </w:tc>
      </w:tr>
      <w:tr>
        <w:tc>
          <w:tcPr>
            <w:tcW w:type="dxa" w:w="172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area_alias</w:t>
            </w:r>
          </w:p>
        </w:tc>
        <w:tc>
          <w:tcPr>
            <w:tcW w:type="dxa" w:w="453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alias PK; sa2_code FK</w:t>
            </w:r>
          </w:p>
        </w:tc>
        <w:tc>
          <w:tcPr>
            <w:tcW w:type="dxa" w:w="352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Optional suburb/locality search aliases added in Iteration 2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indicator</w:t>
            </w:r>
          </w:p>
        </w:tc>
        <w:tc>
          <w:tcPr>
            <w:tcW w:type="dxa" w:w="45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indicator_key PK; label; unit; explanation; method_version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Consistent definitions and UI wording</w:t>
            </w:r>
          </w:p>
        </w:tc>
      </w:tr>
      <w:tr>
        <w:tc>
          <w:tcPr>
            <w:tcW w:type="dxa" w:w="172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area_indicator</w:t>
            </w:r>
          </w:p>
        </w:tc>
        <w:tc>
          <w:tcPr>
            <w:tcW w:type="dxa" w:w="453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sa2_code FK; indicator_key FK; raw_value; score; rating; start_year; end_year; source_id; quality_status</w:t>
            </w:r>
          </w:p>
        </w:tc>
        <w:tc>
          <w:tcPr>
            <w:tcW w:type="dxa" w:w="352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Current display values per SA2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population_history</w:t>
            </w:r>
          </w:p>
        </w:tc>
        <w:tc>
          <w:tcPr>
            <w:tcW w:type="dxa" w:w="45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sa2_code FK; year; population; source_id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Area Details trend chart</w:t>
            </w:r>
          </w:p>
        </w:tc>
      </w:tr>
      <w:tr>
        <w:tc>
          <w:tcPr>
            <w:tcW w:type="dxa" w:w="172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data_source</w:t>
            </w:r>
          </w:p>
        </w:tc>
        <w:tc>
          <w:tcPr>
            <w:tcW w:type="dxa" w:w="4536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source_id PK; publisher; dataset_name; url; licence; reference_period; downloaded_at; limitation</w:t>
            </w:r>
          </w:p>
        </w:tc>
        <w:tc>
          <w:tcPr>
            <w:tcW w:type="dxa" w:w="352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Traceability and Data page</w:t>
            </w:r>
          </w:p>
        </w:tc>
      </w:tr>
      <w:tr>
        <w:tc>
          <w:tcPr>
            <w:tcW w:type="dxa" w:w="17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pipeline_run</w:t>
            </w:r>
          </w:p>
        </w:tc>
        <w:tc>
          <w:tcPr>
            <w:tcW w:type="dxa" w:w="45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run_id PK; built_at; method_version; source_manifest_hash; validation_status</w:t>
            </w:r>
          </w:p>
        </w:tc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Reproducibility and release audit</w:t>
            </w:r>
          </w:p>
        </w:tc>
      </w:tr>
    </w:tbl>
    <w:p>
      <w:pPr>
        <w:spacing w:after="0"/>
      </w:pPr>
    </w:p>
    <w:p>
      <w:pPr>
        <w:pStyle w:val="Heading2"/>
      </w:pPr>
      <w:r>
        <w:t>7.1 Constraints and indexes</w:t>
      </w:r>
    </w:p>
    <w:p>
      <w:pPr>
        <w:pStyle w:val="ListBullet"/>
      </w:pPr>
      <w:r>
        <w:t>Store SA2 codes as TEXT and enforce foreign keys.</w:t>
      </w:r>
    </w:p>
    <w:p>
      <w:pPr>
        <w:pStyle w:val="ListBullet"/>
      </w:pPr>
      <w:r>
        <w:t>Use a unique constraint on area_indicator(sa2_code, indicator_key).</w:t>
      </w:r>
    </w:p>
    <w:p>
      <w:pPr>
        <w:pStyle w:val="ListBullet"/>
      </w:pPr>
      <w:r>
        <w:t>Use a unique constraint on population_history(sa2_code, year).</w:t>
      </w:r>
    </w:p>
    <w:p>
      <w:pPr>
        <w:pStyle w:val="ListBullet"/>
      </w:pPr>
      <w:r>
        <w:t>Index area(sa2_name), area_alias(alias) and all foreign-key columns.</w:t>
      </w:r>
    </w:p>
    <w:p>
      <w:pPr>
        <w:pStyle w:val="ListBullet"/>
      </w:pPr>
      <w:r>
        <w:t>Add checks for scores between 0 and 100, positive population, and valid quality-status values.</w:t>
      </w:r>
    </w:p>
    <w:p>
      <w:pPr>
        <w:pStyle w:val="ListBullet"/>
      </w:pPr>
      <w:r>
        <w:t>Expose a view named v_area_summary containing the four wireframe values and their years.</w:t>
      </w:r>
    </w:p>
    <w:p>
      <w:pPr>
        <w:pStyle w:val="Heading2"/>
      </w:pPr>
      <w:r>
        <w:t>7.2 Database build policy</w:t>
      </w:r>
    </w:p>
    <w:p>
      <w:r>
        <w:t>SQLite is rebuilt offline and deployed as a read-only artefact with FastAPI. The application performs SELECT operations only. Use parameterised bulk inserts or SQLAlchemy/Pandas loading inside a transaction; do not construct SQL by joining strings.</w:t>
      </w:r>
    </w:p>
    <w:p>
      <w:pPr>
        <w:pStyle w:val="Heading1"/>
      </w:pPr>
      <w:r>
        <w:t>8 API and user interface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Key response content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GET /api/v1/areas?query=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Home and Compare search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SA2 code, name and optional matched alias</w:t>
            </w:r>
          </w:p>
        </w:tc>
      </w:tr>
      <w:tr>
        <w:tc>
          <w:tcPr>
            <w:tcW w:type="dxa" w:w="352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GET /api/v1/compare?sa2=code1,code2,code3</w:t>
            </w:r>
          </w:p>
        </w:tc>
        <w:tc>
          <w:tcPr>
            <w:tcW w:type="dxa" w:w="223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Comparison table</w:t>
            </w:r>
          </w:p>
        </w:tc>
        <w:tc>
          <w:tcPr>
            <w:tcW w:type="dxa" w:w="403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Four values, scores/ratings, years, units and quality statuses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GET /api/v1/areas/{sa2_code}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Area Details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Area identity, four indicators, population history, sources and limitations</w:t>
            </w:r>
          </w:p>
        </w:tc>
      </w:tr>
      <w:tr>
        <w:tc>
          <w:tcPr>
            <w:tcW w:type="dxa" w:w="352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GET /api/v1/sources</w:t>
            </w:r>
          </w:p>
        </w:tc>
        <w:tc>
          <w:tcPr>
            <w:tcW w:type="dxa" w:w="223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Data information</w:t>
            </w:r>
          </w:p>
        </w:tc>
        <w:tc>
          <w:tcPr>
            <w:tcW w:type="dxa" w:w="403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Publisher, dataset, reference period, URL, licence and limitation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GET /health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Deployment monitoring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Service status and database readiness without sensitive details</w:t>
            </w:r>
          </w:p>
        </w:tc>
      </w:tr>
    </w:tbl>
    <w:p>
      <w:pPr>
        <w:spacing w:after="0"/>
      </w:pPr>
    </w:p>
    <w:p>
      <w:pPr>
        <w:pStyle w:val="Heading2"/>
      </w:pPr>
      <w:r>
        <w:t>8.1 API rules</w:t>
      </w:r>
    </w:p>
    <w:p>
      <w:pPr>
        <w:pStyle w:val="ListBullet"/>
      </w:pPr>
      <w:r>
        <w:t>Version endpoints under /api/v1 and return JSON over HTTPS.</w:t>
      </w:r>
    </w:p>
    <w:p>
      <w:pPr>
        <w:pStyle w:val="ListBullet"/>
      </w:pPr>
      <w:r>
        <w:t>Allow two or three unique valid SA2 codes for comparison; reject invalid input with clear 4xx responses.</w:t>
      </w:r>
    </w:p>
    <w:p>
      <w:pPr>
        <w:pStyle w:val="ListBullet"/>
      </w:pPr>
      <w:r>
        <w:t>Return null with quality status and explanation for unavailable values.</w:t>
      </w:r>
    </w:p>
    <w:p>
      <w:pPr>
        <w:pStyle w:val="ListBullet"/>
      </w:pPr>
      <w:r>
        <w:t>Use consistent field names, units and rounding across comparison and details responses.</w:t>
      </w:r>
    </w:p>
    <w:p>
      <w:pPr>
        <w:pStyle w:val="ListBullet"/>
      </w:pPr>
      <w:r>
        <w:t>Do not expose filesystem paths, SQL errors, stack traces or configuration secrets.</w:t>
      </w:r>
    </w:p>
    <w:p>
      <w:pPr>
        <w:pStyle w:val="Heading2"/>
      </w:pPr>
      <w:r>
        <w:t>8.2 Frontend rules</w:t>
      </w:r>
    </w:p>
    <w:p>
      <w:pPr>
        <w:pStyle w:val="ListBullet"/>
      </w:pPr>
      <w:r>
        <w:t>Use JavaScript, Vue, Nuxt.js and Tailwind CSS; Node.js is the build tool.</w:t>
      </w:r>
    </w:p>
    <w:p>
      <w:pPr>
        <w:pStyle w:val="ListBullet"/>
      </w:pPr>
      <w:r>
        <w:t>Generate and serve the frontend as a static site from Render's CDN.</w:t>
      </w:r>
    </w:p>
    <w:p>
      <w:pPr>
        <w:pStyle w:val="ListBullet"/>
      </w:pPr>
      <w:r>
        <w:t>Match the approved wireframe structure before adding visual decoration.</w:t>
      </w:r>
    </w:p>
    <w:p>
      <w:pPr>
        <w:pStyle w:val="ListBullet"/>
      </w:pPr>
      <w:r>
        <w:t>Provide loading, empty, invalid-search, partial-data and API-error states.</w:t>
      </w:r>
    </w:p>
    <w:p>
      <w:pPr>
        <w:pStyle w:val="ListBullet"/>
      </w:pPr>
      <w:r>
        <w:t>Avoid a methodology section in the main renter journey; explain only what users need and provide supporting data information separately.</w:t>
      </w:r>
    </w:p>
    <w:p>
      <w:pPr>
        <w:pStyle w:val="Heading1"/>
      </w:pPr>
      <w:r>
        <w:t>9 Architecture deployment and quality</w:t>
      </w:r>
    </w:p>
    <w:p>
      <w:pPr>
        <w:pStyle w:val="Heading2"/>
      </w:pPr>
      <w:r>
        <w:t>9.1 Deployment architecture</w:t>
      </w:r>
    </w:p>
    <w:p>
      <w:pPr>
        <w:pStyle w:val="ListBullet"/>
      </w:pPr>
      <w:r>
        <w:t>GitHub is the source repository and CI/CD trigger.</w:t>
      </w:r>
    </w:p>
    <w:p>
      <w:pPr>
        <w:pStyle w:val="ListBullet"/>
      </w:pPr>
      <w:r>
        <w:t>Render Static Site builds and serves the Nuxt frontend.</w:t>
      </w:r>
    </w:p>
    <w:p>
      <w:pPr>
        <w:pStyle w:val="ListBullet"/>
      </w:pPr>
      <w:r>
        <w:t>Render Web Service runs Python FastAPI and reads the packaged SQLite database.</w:t>
      </w:r>
    </w:p>
    <w:p>
      <w:pPr>
        <w:pStyle w:val="ListBullet"/>
      </w:pPr>
      <w:r>
        <w:t>The browser loads static assets and requests JSON from FastAPI over HTTPS.</w:t>
      </w:r>
    </w:p>
    <w:p>
      <w:pPr>
        <w:pStyle w:val="ListBullet"/>
      </w:pPr>
      <w:r>
        <w:t>The Python preparation pipeline runs before deployment, not during a renter request.</w:t>
      </w:r>
    </w:p>
    <w:p>
      <w:pPr>
        <w:pStyle w:val="ListBullet"/>
      </w:pPr>
      <w:r>
        <w:t>Render services are configured separately, preferably through render.yaml after the initial deployment is proven.</w:t>
      </w:r>
    </w:p>
    <w:p>
      <w:pPr>
        <w:pStyle w:val="Heading2"/>
      </w:pPr>
      <w:r>
        <w:t>9.2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Quality area</w:t>
            </w:r>
          </w:p>
        </w:tc>
        <w:tc>
          <w:tcPr>
            <w:tcW w:type="dxa" w:w="79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Minimum requirement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Security</w:t>
            </w:r>
          </w:p>
        </w:tc>
        <w:tc>
          <w:tcPr>
            <w:tcW w:type="dxa" w:w="79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HTTPS; strict production CORS origin; GET-only public API; input validation; dependency scanning; no secrets in Git; safe errors; security headers</w:t>
            </w:r>
          </w:p>
        </w:tc>
      </w:tr>
      <w:tr>
        <w:tc>
          <w:tcPr>
            <w:tcW w:type="dxa" w:w="180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Privacy</w:t>
            </w:r>
          </w:p>
        </w:tc>
        <w:tc>
          <w:tcPr>
            <w:tcW w:type="dxa" w:w="79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No login, cookies for profiling, personal data entry or retention; analytics must be privacy-conscious and disclosed if enabled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Accessibility</w:t>
            </w:r>
          </w:p>
        </w:tc>
        <w:tc>
          <w:tcPr>
            <w:tcW w:type="dxa" w:w="79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Target WCAG 2.2 AA; keyboard navigation; visible focus; semantic headings/tables; labels; adequate contrast; chart values available as text</w:t>
            </w:r>
          </w:p>
        </w:tc>
      </w:tr>
      <w:tr>
        <w:tc>
          <w:tcPr>
            <w:tcW w:type="dxa" w:w="180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Performance</w:t>
            </w:r>
          </w:p>
        </w:tc>
        <w:tc>
          <w:tcPr>
            <w:tcW w:type="dxa" w:w="79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Static assets through CDN; compact JSON; database indexes; comparison response target under one second after warm-up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SEO</w:t>
            </w:r>
          </w:p>
        </w:tc>
        <w:tc>
          <w:tcPr>
            <w:tcW w:type="dxa" w:w="79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Unique title and description, canonical URL, sitemap/robots configuration and meaningful static content; comparison results need not be indexed</w:t>
            </w:r>
          </w:p>
        </w:tc>
      </w:tr>
      <w:tr>
        <w:tc>
          <w:tcPr>
            <w:tcW w:type="dxa" w:w="180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Reliability</w:t>
            </w:r>
          </w:p>
        </w:tc>
        <w:tc>
          <w:tcPr>
            <w:tcW w:type="dxa" w:w="79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Health endpoint, startup database check, graceful API error states and documented Render free-tier cold-start procedure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Maintainability</w:t>
            </w:r>
          </w:p>
        </w:tc>
        <w:tc>
          <w:tcPr>
            <w:tcW w:type="dxa" w:w="79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Documented setup, consistent formatting, modular source-specific pipeline scripts, API versioning and code review</w:t>
            </w:r>
          </w:p>
        </w:tc>
      </w:tr>
    </w:tbl>
    <w:p>
      <w:pPr>
        <w:spacing w:after="0"/>
      </w:pPr>
    </w:p>
    <w:p>
      <w:pPr>
        <w:pStyle w:val="Heading2"/>
      </w:pPr>
      <w:r>
        <w:t>9.3 Testing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level</w:t>
            </w:r>
          </w:p>
        </w:tc>
        <w:tc>
          <w:tcPr>
            <w:tcW w:type="dxa" w:w="79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 coverage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Data</w:t>
            </w:r>
          </w:p>
        </w:tc>
        <w:tc>
          <w:tcPr>
            <w:tcW w:type="dxa" w:w="79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Schema, duplicates, nulls, ranges, spatial validity, aggregation coverage, formula examples and source-to-output spot checks</w:t>
            </w:r>
          </w:p>
        </w:tc>
      </w:tr>
      <w:tr>
        <w:tc>
          <w:tcPr>
            <w:tcW w:type="dxa" w:w="180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Backend</w:t>
            </w:r>
          </w:p>
        </w:tc>
        <w:tc>
          <w:tcPr>
            <w:tcW w:type="dxa" w:w="79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Endpoint success, validation errors, unknown SA2, partial data, database unavailable and consistent response schema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Frontend</w:t>
            </w:r>
          </w:p>
        </w:tc>
        <w:tc>
          <w:tcPr>
            <w:tcW w:type="dxa" w:w="79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Search, selection limits, remove area, compare, details navigation, loading/error/empty states and responsive layouts</w:t>
            </w:r>
          </w:p>
        </w:tc>
      </w:tr>
      <w:tr>
        <w:tc>
          <w:tcPr>
            <w:tcW w:type="dxa" w:w="180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Accessibility</w:t>
            </w:r>
          </w:p>
        </w:tc>
        <w:tc>
          <w:tcPr>
            <w:tcW w:type="dxa" w:w="79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Keyboard-only journey, automated scan, headings, form labels, focus order, contrast and table/chart alternatives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End to end</w:t>
            </w:r>
          </w:p>
        </w:tc>
        <w:tc>
          <w:tcPr>
            <w:tcW w:type="dxa" w:w="79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Deployed Home to Compare to Area Details journey using at least two known SA2s</w:t>
            </w:r>
          </w:p>
        </w:tc>
      </w:tr>
      <w:tr>
        <w:tc>
          <w:tcPr>
            <w:tcW w:type="dxa" w:w="1800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Security</w:t>
            </w:r>
          </w:p>
        </w:tc>
        <w:tc>
          <w:tcPr>
            <w:tcW w:type="dxa" w:w="7992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CORS, headers, malformed parameters, dependency audit, secrets review and absence of write endpoints</w:t>
            </w:r>
          </w:p>
        </w:tc>
      </w:tr>
    </w:tbl>
    <w:p>
      <w:pPr>
        <w:spacing w:after="0"/>
      </w:pPr>
    </w:p>
    <w:p>
      <w:pPr>
        <w:pStyle w:val="Heading1"/>
      </w:pPr>
      <w:r>
        <w:t>10 Acceptance and team decisions</w:t>
      </w:r>
    </w:p>
    <w:p>
      <w:pPr>
        <w:pStyle w:val="Heading2"/>
      </w:pPr>
      <w:r>
        <w:t>10.1 Iteration 1 definition of done</w:t>
      </w:r>
    </w:p>
    <w:p>
      <w:pPr>
        <w:pStyle w:val="ListBullet"/>
      </w:pPr>
      <w:r>
        <w:t>All three approved wireframes are implemented and deployed.</w:t>
      </w:r>
    </w:p>
    <w:p>
      <w:pPr>
        <w:pStyle w:val="ListBullet"/>
      </w:pPr>
      <w:r>
        <w:t>Two or three eligible SA2s can be searched, selected and compared.</w:t>
      </w:r>
    </w:p>
    <w:p>
      <w:pPr>
        <w:pStyle w:val="ListBullet"/>
      </w:pPr>
      <w:r>
        <w:t>All four indicator categories use real processed data or a clearly marked unavailable state.</w:t>
      </w:r>
    </w:p>
    <w:p>
      <w:pPr>
        <w:pStyle w:val="ListBullet"/>
      </w:pPr>
      <w:r>
        <w:t>Area Details shows real annual population history and source information.</w:t>
      </w:r>
    </w:p>
    <w:p>
      <w:pPr>
        <w:pStyle w:val="ListBullet"/>
      </w:pPr>
      <w:r>
        <w:t>The data pipeline rebuilds SQLite from documented source versions and passes validation.</w:t>
      </w:r>
    </w:p>
    <w:p>
      <w:pPr>
        <w:pStyle w:val="ListBullet"/>
      </w:pPr>
      <w:r>
        <w:t>API, UI, accessibility, security and end-to-end acceptance tests pass without critical defects.</w:t>
      </w:r>
    </w:p>
    <w:p>
      <w:pPr>
        <w:pStyle w:val="ListBullet"/>
      </w:pPr>
      <w:r>
        <w:t>Trello contains scope, user stories, acceptance criteria, ownership, evidence and status.</w:t>
      </w:r>
    </w:p>
    <w:p>
      <w:pPr>
        <w:pStyle w:val="Heading2"/>
      </w:pPr>
      <w:r>
        <w:t>10.2 Iteration 2 candidate backlog</w:t>
      </w:r>
    </w:p>
    <w:p>
      <w:pPr>
        <w:pStyle w:val="ListBullet"/>
      </w:pPr>
      <w:r>
        <w:t>Improve area searching with reviewed locality-to-SA2 aliases.</w:t>
      </w:r>
    </w:p>
    <w:p>
      <w:pPr>
        <w:pStyle w:val="ListBullet"/>
      </w:pPr>
      <w:r>
        <w:t>Improve mobile comparison and accessibility based on user testing.</w:t>
      </w:r>
    </w:p>
    <w:p>
      <w:pPr>
        <w:pStyle w:val="ListBullet"/>
      </w:pPr>
      <w:r>
        <w:t>Add clearer data-quality flags and method/source explanations.</w:t>
      </w:r>
    </w:p>
    <w:p>
      <w:pPr>
        <w:pStyle w:val="ListBullet"/>
      </w:pPr>
      <w:r>
        <w:t>Automate source-version checks and database validation in GitHub Actions.</w:t>
      </w:r>
    </w:p>
    <w:p>
      <w:pPr>
        <w:pStyle w:val="ListBullet"/>
      </w:pPr>
      <w:r>
        <w:t>Review whether a more recent rent source can be mapped to SA2 without misleading precision.</w:t>
      </w:r>
    </w:p>
    <w:p>
      <w:pPr>
        <w:pStyle w:val="ListBullet"/>
      </w:pPr>
      <w:r>
        <w:t>Review a maintained green-space replacement; retain the existing source only with a clear date limitation.</w:t>
      </w:r>
    </w:p>
    <w:p>
      <w:pPr>
        <w:pStyle w:val="ListBullet"/>
      </w:pPr>
      <w:r>
        <w:t>Add privacy-conscious aggregate analytics only if the team approves a defined evaluation need.</w:t>
      </w:r>
    </w:p>
    <w:p>
      <w:pPr>
        <w:pStyle w:val="Heading2"/>
      </w:pPr>
      <w:r>
        <w:t>10.3 Decisions to finalise before coding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7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Recommended baseline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Geography</w:t>
            </w:r>
          </w:p>
        </w:tc>
        <w:tc>
          <w:tcPr>
            <w:tcW w:type="dxa" w:w="67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2021 SA2 and Greater Melbourne GCCSA</w:t>
            </w:r>
          </w:p>
        </w:tc>
      </w:tr>
      <w:tr>
        <w:tc>
          <w:tcPr>
            <w:tcW w:type="dxa" w:w="302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Housing measure</w:t>
            </w:r>
          </w:p>
        </w:tc>
        <w:tc>
          <w:tcPr>
            <w:tcW w:type="dxa" w:w="676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2021 Census median weekly rent, explicitly dated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Population window</w:t>
            </w:r>
          </w:p>
        </w:tc>
        <w:tc>
          <w:tcPr>
            <w:tcW w:type="dxa" w:w="67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2020-2025 with six annual observations</w:t>
            </w:r>
          </w:p>
        </w:tc>
      </w:tr>
      <w:tr>
        <w:tc>
          <w:tcPr>
            <w:tcW w:type="dxa" w:w="302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Transport method</w:t>
            </w:r>
          </w:p>
        </w:tc>
        <w:tc>
          <w:tcPr>
            <w:tcW w:type="dxa" w:w="676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Area-weighted PTAL mean converted to 0-100 percentile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Open-space eligibility</w:t>
            </w:r>
          </w:p>
        </w:tc>
        <w:tc>
          <w:tcPr>
            <w:tcW w:type="dxa" w:w="67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Count only categories agreed as publicly accessible; record the filter list</w:t>
            </w:r>
          </w:p>
        </w:tc>
      </w:tr>
      <w:tr>
        <w:tc>
          <w:tcPr>
            <w:tcW w:type="dxa" w:w="302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Iteration 1 scope</w:t>
            </w:r>
          </w:p>
        </w:tc>
        <w:tc>
          <w:tcPr>
            <w:tcW w:type="dxa" w:w="676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All four wireframe indicators and all three pages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Database delivery</w:t>
            </w:r>
          </w:p>
        </w:tc>
        <w:tc>
          <w:tcPr>
            <w:tcW w:type="dxa" w:w="67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Reproducibly generated read-only SQLite packaged with FastAPI</w:t>
            </w:r>
          </w:p>
        </w:tc>
      </w:tr>
      <w:tr>
        <w:tc>
          <w:tcPr>
            <w:tcW w:type="dxa" w:w="302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Hosting</w:t>
            </w:r>
          </w:p>
        </w:tc>
        <w:tc>
          <w:tcPr>
            <w:tcW w:type="dxa" w:w="676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Render Static Site plus Render Web Service</w:t>
            </w:r>
          </w:p>
        </w:tc>
      </w:tr>
    </w:tbl>
    <w:p>
      <w:pPr>
        <w:spacing w:after="0"/>
      </w:pPr>
    </w:p>
    <w:p>
      <w:pPr>
        <w:pStyle w:val="Heading2"/>
      </w:pPr>
      <w:r>
        <w:t>10.4 Key risks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66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Treatment</w:t>
            </w:r>
          </w:p>
        </w:tc>
      </w:tr>
      <w:tr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Source-year mismatch</w:t>
            </w:r>
          </w:p>
        </w:tc>
        <w:tc>
          <w:tcPr>
            <w:tcW w:type="dxa" w:w="6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Display years per indicator; do not imply a single current snapshot</w:t>
            </w:r>
          </w:p>
        </w:tc>
      </w:tr>
      <w:tr>
        <w:tc>
          <w:tcPr>
            <w:tcW w:type="dxa" w:w="316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SA2/suburb confusion</w:t>
            </w:r>
          </w:p>
        </w:tc>
        <w:tc>
          <w:tcPr>
            <w:tcW w:type="dxa" w:w="662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Use SA2 consistently and display the boundary disclaimer</w:t>
            </w:r>
          </w:p>
        </w:tc>
      </w:tr>
      <w:tr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Open-space source is unmaintained</w:t>
            </w:r>
          </w:p>
        </w:tc>
        <w:tc>
          <w:tcPr>
            <w:tcW w:type="dxa" w:w="6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Apply transparent filters, show source date and review replacement in Iteration 2</w:t>
            </w:r>
          </w:p>
        </w:tc>
      </w:tr>
      <w:tr>
        <w:tc>
          <w:tcPr>
            <w:tcW w:type="dxa" w:w="316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Ratings appear prescriptive</w:t>
            </w:r>
          </w:p>
        </w:tc>
        <w:tc>
          <w:tcPr>
            <w:tcW w:type="dxa" w:w="662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No overall score; describe transport as a relative dataset result</w:t>
            </w:r>
          </w:p>
        </w:tc>
      </w:tr>
      <w:tr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Spatial processing delays</w:t>
            </w:r>
          </w:p>
        </w:tc>
        <w:tc>
          <w:tcPr>
            <w:tcW w:type="dxa" w:w="6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Prototype two known SA2s first, then run the same automated pipeline across Greater Melbourne</w:t>
            </w:r>
          </w:p>
        </w:tc>
      </w:tr>
      <w:tr>
        <w:tc>
          <w:tcPr>
            <w:tcW w:type="dxa" w:w="3168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Render cold start during demonstration</w:t>
            </w:r>
          </w:p>
        </w:tc>
        <w:tc>
          <w:tcPr>
            <w:tcW w:type="dxa" w:w="6624"/>
            <w:shd w:fill="EAF1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Warm the service before presentation and document a recovery check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A Wireframe baseline</w:t>
      </w:r>
    </w:p>
    <w:p>
      <w:r>
        <w:t>These wireframes define the Iteration 1 page structure. Visual styling may improve, but visible fields, explanations and primary actions must not be removed without team approval.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5027930"/>
            <wp:docPr id="1" name="Picture 1" title="Figure A1 Home page wireframe" descr="Figure A1 Home page wireframe for Your Friendly Neighbourhood, showing the renter-focused page structure and interface ele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r-friendly-neighbourhood-home-wirefra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02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A1 Home page wireframe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858000"/>
            <wp:docPr id="2" name="Picture 2" title="Figure A2 Compare Areas page wireframe" descr="Figure A2 Compare Areas page wireframe for Your Friendly Neighbourhood, showing the renter-focused page structure and interface ele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r-friendly-neighbourhood-compare-wirefra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A2 Compare Areas page wireframe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4920" cy="6696075"/>
            <wp:docPr id="3" name="Picture 3" title="Figure A3 Area Details page wireframe" descr="Figure A3 Area Details page wireframe for Your Friendly Neighbourhood, showing the renter-focused page structure and interface ele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r-friendly-neighbourhood-area-details-wirefra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6696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A3 Area Details page wireframe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C7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C76"/>
        <w:sz w:val="16"/>
      </w:rPr>
      <w:t>Your Friendly Neighbourhood  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A636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bs.gov.au/statistics/people/population/regional-population/2024-25" TargetMode="External"/><Relationship Id="rId12" Type="http://schemas.openxmlformats.org/officeDocument/2006/relationships/hyperlink" Target="https://www.abs.gov.au/census/find-census-data/datapacks" TargetMode="External"/><Relationship Id="rId13" Type="http://schemas.openxmlformats.org/officeDocument/2006/relationships/hyperlink" Target="https://discover.data.vic.gov.au/en_AU/dataset/public-transport-accessibility-level-ptal-melbourne-metro" TargetMode="External"/><Relationship Id="rId14" Type="http://schemas.openxmlformats.org/officeDocument/2006/relationships/hyperlink" Target="https://discover.data.vic.gov.au/dataset/open-space" TargetMode="External"/><Relationship Id="rId15" Type="http://schemas.openxmlformats.org/officeDocument/2006/relationships/hyperlink" Target="https://www.abs.gov.au/statistics/standards/australian-statistical-geography-standard-asgs/edition-3-july-2021-june-2026/access-and-downloads/digital-boundary-files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