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77E8A" w14:textId="77777777" w:rsidR="0013627C" w:rsidRPr="0013627C" w:rsidRDefault="0013627C" w:rsidP="0013627C">
      <w:pPr>
        <w:rPr>
          <w:rStyle w:val="name"/>
          <w:rFonts w:ascii="Times New Roman" w:hAnsi="Times New Roman" w:cs="Times New Roman"/>
          <w:sz w:val="24"/>
          <w:szCs w:val="24"/>
        </w:rPr>
      </w:pPr>
      <w:r w:rsidRPr="0013627C">
        <w:rPr>
          <w:rFonts w:ascii="Times New Roman" w:hAnsi="Times New Roman" w:cs="Times New Roman"/>
          <w:sz w:val="24"/>
          <w:szCs w:val="24"/>
        </w:rPr>
        <w:t xml:space="preserve">None the less, there is a context there for </w:t>
      </w:r>
      <w:r w:rsidRPr="0013627C">
        <w:rPr>
          <w:rStyle w:val="name"/>
          <w:rFonts w:ascii="Times New Roman" w:hAnsi="Times New Roman" w:cs="Times New Roman"/>
          <w:sz w:val="24"/>
          <w:szCs w:val="24"/>
        </w:rPr>
        <w:t>William Shakespeare's</w:t>
      </w:r>
      <w:r w:rsidRPr="0013627C">
        <w:rPr>
          <w:rFonts w:ascii="Times New Roman" w:hAnsi="Times New Roman" w:cs="Times New Roman"/>
          <w:sz w:val="24"/>
          <w:szCs w:val="24"/>
        </w:rPr>
        <w:t xml:space="preserve"> early learning about theatre performance and contemporary drama in the work of such professional companies. He might, too, have travelled nearby to see the spectacular entertainments at Kenilworth given by the </w:t>
      </w:r>
      <w:r w:rsidRPr="0013627C">
        <w:rPr>
          <w:rStyle w:val="name"/>
          <w:rFonts w:ascii="Times New Roman" w:hAnsi="Times New Roman" w:cs="Times New Roman"/>
          <w:sz w:val="24"/>
          <w:szCs w:val="24"/>
        </w:rPr>
        <w:t>earl of Leicester</w:t>
      </w:r>
      <w:r w:rsidRPr="0013627C">
        <w:rPr>
          <w:rFonts w:ascii="Times New Roman" w:hAnsi="Times New Roman" w:cs="Times New Roman"/>
          <w:sz w:val="24"/>
          <w:szCs w:val="24"/>
        </w:rPr>
        <w:t xml:space="preserve"> for the queen in 1575, or the magnificent cycle drama of mystery plays which was still performed annually at Coventry until 1578, or Coventry's </w:t>
      </w:r>
      <w:proofErr w:type="spellStart"/>
      <w:r w:rsidRPr="0013627C">
        <w:rPr>
          <w:rFonts w:ascii="Times New Roman" w:hAnsi="Times New Roman" w:cs="Times New Roman"/>
          <w:sz w:val="24"/>
          <w:szCs w:val="24"/>
        </w:rPr>
        <w:t>Hocktide</w:t>
      </w:r>
      <w:proofErr w:type="spellEnd"/>
      <w:r w:rsidRPr="0013627C">
        <w:rPr>
          <w:rFonts w:ascii="Times New Roman" w:hAnsi="Times New Roman" w:cs="Times New Roman"/>
          <w:sz w:val="24"/>
          <w:szCs w:val="24"/>
        </w:rPr>
        <w:t xml:space="preserve"> play (suppressed in 1568 but performed again at Kenilworth in 1575), or the amateur performances which regularly occurred in Stratford.</w:t>
      </w:r>
    </w:p>
    <w:p w14:paraId="0ACE2F1B" w14:textId="77777777" w:rsidR="0013627C" w:rsidRPr="0013627C" w:rsidRDefault="0013627C" w:rsidP="0013627C">
      <w:pPr>
        <w:pStyle w:val="NormalWeb"/>
      </w:pPr>
      <w:r w:rsidRPr="0013627C">
        <w:t xml:space="preserve">There is no evidence that either of </w:t>
      </w:r>
      <w:r w:rsidRPr="0013627C">
        <w:rPr>
          <w:rStyle w:val="name"/>
        </w:rPr>
        <w:t>Shakespeare’s parents</w:t>
      </w:r>
      <w:r w:rsidRPr="0013627C">
        <w:t xml:space="preserve"> could write: each signed with a kind of mark. But the marks were not the awkward crosses of the totally illiterate: </w:t>
      </w:r>
      <w:r w:rsidRPr="0013627C">
        <w:rPr>
          <w:rStyle w:val="name"/>
        </w:rPr>
        <w:t>John</w:t>
      </w:r>
      <w:r w:rsidRPr="0013627C">
        <w:t xml:space="preserve"> often drew a fine pair of compasses; </w:t>
      </w:r>
      <w:r w:rsidRPr="0013627C">
        <w:rPr>
          <w:rStyle w:val="name"/>
        </w:rPr>
        <w:t>Mary's</w:t>
      </w:r>
      <w:r w:rsidRPr="0013627C">
        <w:t xml:space="preserve"> mark in 1579 was a complex design, apparently incorporating her initials and fluently written. Both may well have been able to read: many who could not write could read. Certainly, given </w:t>
      </w:r>
      <w:r w:rsidRPr="0013627C">
        <w:rPr>
          <w:rStyle w:val="name"/>
        </w:rPr>
        <w:t>John's</w:t>
      </w:r>
      <w:r w:rsidRPr="0013627C">
        <w:t xml:space="preserve"> status in the community, his four sons would have gone to Stratford's grammar school where their education would have been free. Before that </w:t>
      </w:r>
      <w:r w:rsidRPr="0013627C">
        <w:rPr>
          <w:rStyle w:val="name"/>
        </w:rPr>
        <w:t>William</w:t>
      </w:r>
      <w:r w:rsidRPr="0013627C">
        <w:t xml:space="preserve"> would have attended '</w:t>
      </w:r>
      <w:r w:rsidRPr="0013627C">
        <w:rPr>
          <w:rStyle w:val="inlinequote"/>
        </w:rPr>
        <w:t>petty school</w:t>
      </w:r>
      <w:r w:rsidRPr="0013627C">
        <w:t xml:space="preserve">' from about the age of five to about seven, learning to read. </w:t>
      </w:r>
      <w:r w:rsidRPr="0013627C">
        <w:br/>
      </w:r>
      <w:r w:rsidRPr="0013627C">
        <w:br/>
        <w:t xml:space="preserve">At the King's New School, Stratford's splendid grammar school, </w:t>
      </w:r>
      <w:r w:rsidRPr="0013627C">
        <w:rPr>
          <w:rStyle w:val="name"/>
        </w:rPr>
        <w:t>William</w:t>
      </w:r>
      <w:r w:rsidRPr="0013627C">
        <w:t xml:space="preserve"> would have learned an immense amount of Latin literature and history, perhaps using the Latin–English dictionary left to the school by </w:t>
      </w:r>
      <w:r w:rsidRPr="0013627C">
        <w:rPr>
          <w:rStyle w:val="name"/>
        </w:rPr>
        <w:t xml:space="preserve">John </w:t>
      </w:r>
      <w:proofErr w:type="spellStart"/>
      <w:r w:rsidRPr="0013627C">
        <w:rPr>
          <w:rStyle w:val="name"/>
        </w:rPr>
        <w:t>Bretchgirdle</w:t>
      </w:r>
      <w:proofErr w:type="spellEnd"/>
      <w:r w:rsidRPr="0013627C">
        <w:t xml:space="preserve"> who had baptized him. Among the works that </w:t>
      </w:r>
      <w:r w:rsidRPr="0013627C">
        <w:rPr>
          <w:rStyle w:val="name"/>
        </w:rPr>
        <w:t>Shakespeare</w:t>
      </w:r>
      <w:r w:rsidRPr="0013627C">
        <w:t xml:space="preserve"> later used as sources for his plays are a number that he would have read as part of his grammar-school education: the history of </w:t>
      </w:r>
      <w:r w:rsidRPr="0013627C">
        <w:rPr>
          <w:rStyle w:val="name"/>
        </w:rPr>
        <w:t>Livy</w:t>
      </w:r>
      <w:r w:rsidRPr="0013627C">
        <w:t xml:space="preserve">, the speeches of </w:t>
      </w:r>
      <w:r w:rsidRPr="0013627C">
        <w:rPr>
          <w:rStyle w:val="name"/>
        </w:rPr>
        <w:t>Cicero</w:t>
      </w:r>
      <w:r w:rsidRPr="0013627C">
        <w:t xml:space="preserve">, the comedies of </w:t>
      </w:r>
      <w:r w:rsidRPr="0013627C">
        <w:rPr>
          <w:rStyle w:val="name"/>
        </w:rPr>
        <w:t>Plautus</w:t>
      </w:r>
      <w:r w:rsidRPr="0013627C">
        <w:t xml:space="preserve"> and </w:t>
      </w:r>
      <w:r w:rsidRPr="0013627C">
        <w:rPr>
          <w:rStyle w:val="name"/>
        </w:rPr>
        <w:t>Terence</w:t>
      </w:r>
      <w:r w:rsidRPr="0013627C">
        <w:t xml:space="preserve">, the tragedies of </w:t>
      </w:r>
      <w:r w:rsidRPr="0013627C">
        <w:rPr>
          <w:rStyle w:val="name"/>
        </w:rPr>
        <w:t>Seneca</w:t>
      </w:r>
      <w:r w:rsidRPr="0013627C">
        <w:t xml:space="preserve">, and the poetry of </w:t>
      </w:r>
      <w:r w:rsidRPr="0013627C">
        <w:rPr>
          <w:rStyle w:val="name"/>
        </w:rPr>
        <w:t>Virgil</w:t>
      </w:r>
      <w:r w:rsidRPr="0013627C">
        <w:t xml:space="preserve"> and, above all, </w:t>
      </w:r>
      <w:r w:rsidRPr="0013627C">
        <w:rPr>
          <w:rStyle w:val="name"/>
        </w:rPr>
        <w:t>Ovid</w:t>
      </w:r>
      <w:r w:rsidRPr="0013627C">
        <w:t xml:space="preserve">, who remained his </w:t>
      </w:r>
      <w:proofErr w:type="spellStart"/>
      <w:r w:rsidRPr="0013627C">
        <w:t>favourite</w:t>
      </w:r>
      <w:proofErr w:type="spellEnd"/>
      <w:r w:rsidRPr="0013627C">
        <w:t xml:space="preserve"> poet. The range of Latin writing that formed the curriculum was, by modern standards, vast. The mode of teaching, by a good teacher assisted by an usher, was one calculated to ensure the arts of memory, facility in composition, and rhetorical skills.</w:t>
      </w:r>
    </w:p>
    <w:p w14:paraId="61088E84" w14:textId="77777777" w:rsidR="0013627C" w:rsidRPr="0013627C" w:rsidRDefault="0013627C" w:rsidP="0013627C">
      <w:pPr>
        <w:spacing w:after="0" w:line="240" w:lineRule="auto"/>
        <w:rPr>
          <w:rFonts w:ascii="Times New Roman" w:eastAsia="Times New Roman" w:hAnsi="Times New Roman" w:cs="Times New Roman"/>
          <w:sz w:val="24"/>
          <w:szCs w:val="24"/>
          <w:lang w:val="en-PK" w:eastAsia="en-GB"/>
        </w:rPr>
      </w:pPr>
      <w:r w:rsidRPr="0013627C">
        <w:rPr>
          <w:rFonts w:ascii="Times New Roman" w:hAnsi="Times New Roman" w:cs="Times New Roman"/>
          <w:sz w:val="24"/>
          <w:szCs w:val="24"/>
        </w:rPr>
        <w:t xml:space="preserve">In addition, regular attendance at church, a legal requirement which his father does not appear to have avoided until later, guaranteed prolonged exposure to the </w:t>
      </w:r>
      <w:r w:rsidRPr="0013627C">
        <w:rPr>
          <w:rStyle w:val="work"/>
          <w:rFonts w:ascii="Times New Roman" w:hAnsi="Times New Roman" w:cs="Times New Roman"/>
          <w:sz w:val="24"/>
          <w:szCs w:val="24"/>
        </w:rPr>
        <w:t>Book of Homilies</w:t>
      </w:r>
      <w:r w:rsidRPr="0013627C">
        <w:rPr>
          <w:rFonts w:ascii="Times New Roman" w:hAnsi="Times New Roman" w:cs="Times New Roman"/>
          <w:sz w:val="24"/>
          <w:szCs w:val="24"/>
        </w:rPr>
        <w:t xml:space="preserve"> (fairly dull), the </w:t>
      </w:r>
      <w:r w:rsidRPr="0013627C">
        <w:rPr>
          <w:rStyle w:val="work"/>
          <w:rFonts w:ascii="Times New Roman" w:hAnsi="Times New Roman" w:cs="Times New Roman"/>
          <w:sz w:val="24"/>
          <w:szCs w:val="24"/>
        </w:rPr>
        <w:t>Book of Common Prayer</w:t>
      </w:r>
      <w:r w:rsidRPr="0013627C">
        <w:rPr>
          <w:rFonts w:ascii="Times New Roman" w:hAnsi="Times New Roman" w:cs="Times New Roman"/>
          <w:sz w:val="24"/>
          <w:szCs w:val="24"/>
        </w:rPr>
        <w:t xml:space="preserve"> (rather more exciting), and, especially, the exhilarating language of the </w:t>
      </w:r>
      <w:r w:rsidRPr="0013627C">
        <w:rPr>
          <w:rStyle w:val="work"/>
          <w:rFonts w:ascii="Times New Roman" w:hAnsi="Times New Roman" w:cs="Times New Roman"/>
          <w:sz w:val="24"/>
          <w:szCs w:val="24"/>
        </w:rPr>
        <w:t>Bible</w:t>
      </w:r>
      <w:r w:rsidRPr="0013627C">
        <w:rPr>
          <w:rFonts w:ascii="Times New Roman" w:hAnsi="Times New Roman" w:cs="Times New Roman"/>
          <w:sz w:val="24"/>
          <w:szCs w:val="24"/>
        </w:rPr>
        <w:t xml:space="preserve"> in English, a resource that </w:t>
      </w:r>
      <w:r w:rsidRPr="0013627C">
        <w:rPr>
          <w:rStyle w:val="name"/>
          <w:rFonts w:ascii="Times New Roman" w:hAnsi="Times New Roman" w:cs="Times New Roman"/>
          <w:sz w:val="24"/>
          <w:szCs w:val="24"/>
        </w:rPr>
        <w:t>Shakespeare</w:t>
      </w:r>
      <w:r w:rsidRPr="0013627C">
        <w:rPr>
          <w:rFonts w:ascii="Times New Roman" w:hAnsi="Times New Roman" w:cs="Times New Roman"/>
          <w:sz w:val="24"/>
          <w:szCs w:val="24"/>
        </w:rPr>
        <w:t>, like his contemporaries, knew well, used extensively, and embedded deeply into the fabric of his language.</w:t>
      </w:r>
      <w:r w:rsidRPr="0013627C">
        <w:rPr>
          <w:rFonts w:ascii="Times New Roman" w:hAnsi="Times New Roman" w:cs="Times New Roman"/>
          <w:sz w:val="24"/>
          <w:szCs w:val="24"/>
        </w:rPr>
        <w:t xml:space="preserve"> </w:t>
      </w:r>
      <w:r w:rsidRPr="0013627C">
        <w:rPr>
          <w:rFonts w:ascii="Times New Roman" w:hAnsi="Times New Roman" w:cs="Times New Roman"/>
          <w:sz w:val="24"/>
          <w:szCs w:val="24"/>
        </w:rPr>
        <w:br/>
      </w:r>
      <w:r w:rsidRPr="0013627C">
        <w:rPr>
          <w:rFonts w:ascii="Times New Roman" w:hAnsi="Times New Roman" w:cs="Times New Roman"/>
          <w:sz w:val="24"/>
          <w:szCs w:val="24"/>
        </w:rPr>
        <w:br/>
      </w:r>
      <w:r w:rsidRPr="0013627C">
        <w:rPr>
          <w:rFonts w:ascii="Times New Roman" w:eastAsia="Times New Roman" w:hAnsi="Times New Roman" w:cs="Times New Roman"/>
          <w:sz w:val="24"/>
          <w:szCs w:val="24"/>
          <w:lang w:val="en-PK" w:eastAsia="en-GB"/>
        </w:rPr>
        <w:t xml:space="preserve">The decision to write plays on English history was a response to the current popularity of such drama. The idea of a two-part play was probably a response to the phenomenal success of Marlowe's </w:t>
      </w:r>
      <w:r w:rsidRPr="0013627C">
        <w:rPr>
          <w:rFonts w:ascii="Times New Roman" w:eastAsia="Times New Roman" w:hAnsi="Times New Roman" w:cs="Times New Roman"/>
          <w:i/>
          <w:iCs/>
          <w:sz w:val="24"/>
          <w:szCs w:val="24"/>
          <w:lang w:val="en-PK" w:eastAsia="en-GB"/>
        </w:rPr>
        <w:t>Tamburlaine</w:t>
      </w:r>
      <w:r w:rsidRPr="0013627C">
        <w:rPr>
          <w:rFonts w:ascii="Times New Roman" w:eastAsia="Times New Roman" w:hAnsi="Times New Roman" w:cs="Times New Roman"/>
          <w:sz w:val="24"/>
          <w:szCs w:val="24"/>
          <w:lang w:val="en-PK" w:eastAsia="en-GB"/>
        </w:rPr>
        <w:t xml:space="preserve">, though there were many other two-part plays. There are strong indications, not least in the title by which </w:t>
      </w:r>
      <w:r w:rsidRPr="0013627C">
        <w:rPr>
          <w:rFonts w:ascii="Times New Roman" w:eastAsia="Times New Roman" w:hAnsi="Times New Roman" w:cs="Times New Roman"/>
          <w:i/>
          <w:iCs/>
          <w:sz w:val="24"/>
          <w:szCs w:val="24"/>
          <w:lang w:val="en-PK" w:eastAsia="en-GB"/>
        </w:rPr>
        <w:t>2 Henry VI</w:t>
      </w:r>
      <w:r w:rsidRPr="0013627C">
        <w:rPr>
          <w:rFonts w:ascii="Times New Roman" w:eastAsia="Times New Roman" w:hAnsi="Times New Roman" w:cs="Times New Roman"/>
          <w:sz w:val="24"/>
          <w:szCs w:val="24"/>
          <w:lang w:val="en-PK" w:eastAsia="en-GB"/>
        </w:rPr>
        <w:t xml:space="preserve"> was first known, that Shakespeare had mapped out the drama as at least a two-part exploration of a catastrophic period of English history. But his decision to create a three-part work was an innovation. Shakespeare's first investigation of English history generated a work on a scale that had no dramatic precedent in the professional theatre. Its nearest analogy was the biblical cycle-drama, the 'mystery' plays which were still being performed in his boyhood. But the move from sacred to secular also produced a form of theatrical analogue to the chronicle histories, the massive prose narratives out of which Shakespeare constructed his plays, particularly Edward Halle's </w:t>
      </w:r>
      <w:r w:rsidRPr="0013627C">
        <w:rPr>
          <w:rFonts w:ascii="Times New Roman" w:eastAsia="Times New Roman" w:hAnsi="Times New Roman" w:cs="Times New Roman"/>
          <w:i/>
          <w:iCs/>
          <w:sz w:val="24"/>
          <w:szCs w:val="24"/>
          <w:lang w:val="en-PK" w:eastAsia="en-GB"/>
        </w:rPr>
        <w:t>The Union of the Two Noble and Illustre Families of Lancaster and York</w:t>
      </w:r>
      <w:r w:rsidRPr="0013627C">
        <w:rPr>
          <w:rFonts w:ascii="Times New Roman" w:eastAsia="Times New Roman" w:hAnsi="Times New Roman" w:cs="Times New Roman"/>
          <w:sz w:val="24"/>
          <w:szCs w:val="24"/>
          <w:lang w:val="en-PK" w:eastAsia="en-GB"/>
        </w:rPr>
        <w:t xml:space="preserve"> (1548) and Raphael Holinshed's </w:t>
      </w:r>
      <w:r w:rsidRPr="0013627C">
        <w:rPr>
          <w:rFonts w:ascii="Times New Roman" w:eastAsia="Times New Roman" w:hAnsi="Times New Roman" w:cs="Times New Roman"/>
          <w:i/>
          <w:iCs/>
          <w:sz w:val="24"/>
          <w:szCs w:val="24"/>
          <w:lang w:val="en-PK" w:eastAsia="en-GB"/>
        </w:rPr>
        <w:t>The Chronicles of England, Scotland, and Ireland</w:t>
      </w:r>
      <w:r w:rsidRPr="0013627C">
        <w:rPr>
          <w:rFonts w:ascii="Times New Roman" w:eastAsia="Times New Roman" w:hAnsi="Times New Roman" w:cs="Times New Roman"/>
          <w:sz w:val="24"/>
          <w:szCs w:val="24"/>
          <w:lang w:val="en-PK" w:eastAsia="en-GB"/>
        </w:rPr>
        <w:t xml:space="preserve"> of which Shakespeare used the second edition of 1587. He read other chronicles as well, implying the availability to him of a substantial library, and these plays </w:t>
      </w:r>
      <w:r w:rsidRPr="0013627C">
        <w:rPr>
          <w:rFonts w:ascii="Times New Roman" w:eastAsia="Times New Roman" w:hAnsi="Times New Roman" w:cs="Times New Roman"/>
          <w:sz w:val="24"/>
          <w:szCs w:val="24"/>
          <w:lang w:val="en-PK" w:eastAsia="en-GB"/>
        </w:rPr>
        <w:lastRenderedPageBreak/>
        <w:t xml:space="preserve">show the first small traces of his use of works that he would return to for local and general inspiration throughout his career: Apuleius's </w:t>
      </w:r>
      <w:r w:rsidRPr="0013627C">
        <w:rPr>
          <w:rFonts w:ascii="Times New Roman" w:eastAsia="Times New Roman" w:hAnsi="Times New Roman" w:cs="Times New Roman"/>
          <w:i/>
          <w:iCs/>
          <w:sz w:val="24"/>
          <w:szCs w:val="24"/>
          <w:lang w:val="en-PK" w:eastAsia="en-GB"/>
        </w:rPr>
        <w:t>The Golden Ass</w:t>
      </w:r>
      <w:r w:rsidRPr="0013627C">
        <w:rPr>
          <w:rFonts w:ascii="Times New Roman" w:eastAsia="Times New Roman" w:hAnsi="Times New Roman" w:cs="Times New Roman"/>
          <w:sz w:val="24"/>
          <w:szCs w:val="24"/>
          <w:lang w:val="en-PK" w:eastAsia="en-GB"/>
        </w:rPr>
        <w:t xml:space="preserve"> in Adlington's 1566 translation and Ovid's </w:t>
      </w:r>
      <w:r w:rsidRPr="0013627C">
        <w:rPr>
          <w:rFonts w:ascii="Times New Roman" w:eastAsia="Times New Roman" w:hAnsi="Times New Roman" w:cs="Times New Roman"/>
          <w:i/>
          <w:iCs/>
          <w:sz w:val="24"/>
          <w:szCs w:val="24"/>
          <w:lang w:val="en-PK" w:eastAsia="en-GB"/>
        </w:rPr>
        <w:t>Metamorphoses</w:t>
      </w:r>
      <w:r w:rsidRPr="0013627C">
        <w:rPr>
          <w:rFonts w:ascii="Times New Roman" w:eastAsia="Times New Roman" w:hAnsi="Times New Roman" w:cs="Times New Roman"/>
          <w:sz w:val="24"/>
          <w:szCs w:val="24"/>
          <w:lang w:val="en-PK" w:eastAsia="en-GB"/>
        </w:rPr>
        <w:t xml:space="preserve"> in Arthur Golding's version completed in 1567.</w:t>
      </w:r>
    </w:p>
    <w:p w14:paraId="22F1D06A" w14:textId="2050492E" w:rsidR="0013627C" w:rsidRPr="0013627C" w:rsidRDefault="0013627C" w:rsidP="0013627C">
      <w:pPr>
        <w:pStyle w:val="NormalWeb"/>
      </w:pPr>
    </w:p>
    <w:p w14:paraId="31D52F6D" w14:textId="77777777" w:rsidR="0013627C" w:rsidRPr="0013627C" w:rsidRDefault="0013627C" w:rsidP="0013627C">
      <w:pPr>
        <w:rPr>
          <w:rFonts w:ascii="Times New Roman" w:hAnsi="Times New Roman" w:cs="Times New Roman"/>
          <w:sz w:val="24"/>
          <w:szCs w:val="24"/>
        </w:rPr>
      </w:pPr>
    </w:p>
    <w:p w14:paraId="0A294DB5" w14:textId="77777777" w:rsidR="00E46E35" w:rsidRPr="0013627C" w:rsidRDefault="0013627C">
      <w:pPr>
        <w:rPr>
          <w:rFonts w:ascii="Times New Roman" w:hAnsi="Times New Roman" w:cs="Times New Roman"/>
          <w:sz w:val="24"/>
          <w:szCs w:val="24"/>
        </w:rPr>
      </w:pPr>
    </w:p>
    <w:sectPr w:rsidR="00E46E35" w:rsidRPr="00136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7C"/>
    <w:rsid w:val="0013627C"/>
    <w:rsid w:val="004006B6"/>
    <w:rsid w:val="0076638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4BEC7334"/>
  <w15:chartTrackingRefBased/>
  <w15:docId w15:val="{6D62535E-89F4-864D-A9E9-31DCDBD8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27C"/>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13627C"/>
  </w:style>
  <w:style w:type="character" w:customStyle="1" w:styleId="inlinequote">
    <w:name w:val="inlinequote"/>
    <w:basedOn w:val="DefaultParagraphFont"/>
    <w:rsid w:val="0013627C"/>
  </w:style>
  <w:style w:type="paragraph" w:styleId="NormalWeb">
    <w:name w:val="Normal (Web)"/>
    <w:basedOn w:val="Normal"/>
    <w:uiPriority w:val="99"/>
    <w:semiHidden/>
    <w:unhideWhenUsed/>
    <w:rsid w:val="001362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k">
    <w:name w:val="work"/>
    <w:basedOn w:val="DefaultParagraphFont"/>
    <w:rsid w:val="0013627C"/>
  </w:style>
  <w:style w:type="character" w:styleId="Emphasis">
    <w:name w:val="Emphasis"/>
    <w:basedOn w:val="DefaultParagraphFont"/>
    <w:uiPriority w:val="20"/>
    <w:qFormat/>
    <w:rsid w:val="001362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01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D982AF1E7C1B4BB55CEE7173408E0E" ma:contentTypeVersion="10" ma:contentTypeDescription="Create a new document." ma:contentTypeScope="" ma:versionID="879803731ffeef29321ac29ecc35db98">
  <xsd:schema xmlns:xsd="http://www.w3.org/2001/XMLSchema" xmlns:xs="http://www.w3.org/2001/XMLSchema" xmlns:p="http://schemas.microsoft.com/office/2006/metadata/properties" xmlns:ns2="d68ae7ea-9f01-4dff-8458-6d3b84cf2e51" targetNamespace="http://schemas.microsoft.com/office/2006/metadata/properties" ma:root="true" ma:fieldsID="f5a218c61f1b419b47a765fb1cb908b0" ns2:_="">
    <xsd:import namespace="d68ae7ea-9f01-4dff-8458-6d3b84cf2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8ae7ea-9f01-4dff-8458-6d3b84cf2e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6657B-17D9-49CC-87C9-BD5A7C8897BD}"/>
</file>

<file path=customXml/itemProps2.xml><?xml version="1.0" encoding="utf-8"?>
<ds:datastoreItem xmlns:ds="http://schemas.openxmlformats.org/officeDocument/2006/customXml" ds:itemID="{086D390D-57A6-47D3-BA66-5FCBCBEDF40A}"/>
</file>

<file path=customXml/itemProps3.xml><?xml version="1.0" encoding="utf-8"?>
<ds:datastoreItem xmlns:ds="http://schemas.openxmlformats.org/officeDocument/2006/customXml" ds:itemID="{744C23D4-1C0B-49D7-A3D0-B343B816F639}"/>
</file>

<file path=docProps/app.xml><?xml version="1.0" encoding="utf-8"?>
<Properties xmlns="http://schemas.openxmlformats.org/officeDocument/2006/extended-properties" xmlns:vt="http://schemas.openxmlformats.org/officeDocument/2006/docPropsVTypes">
  <Template>Normal.dotm</Template>
  <TotalTime>2</TotalTime>
  <Pages>2</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 Khan</dc:creator>
  <cp:keywords/>
  <dc:description/>
  <cp:lastModifiedBy>Wasi Khan</cp:lastModifiedBy>
  <cp:revision>1</cp:revision>
  <dcterms:created xsi:type="dcterms:W3CDTF">2021-04-12T09:36:00Z</dcterms:created>
  <dcterms:modified xsi:type="dcterms:W3CDTF">2021-04-12T09:38:00Z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0x010100D7D982AF1E7C1B4BB55CEE7173408E0E</vt:lpwstr>
  </property>
</Properties>
</file>