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2019</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John RATTEE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Noor KHAYRATTEE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John RATTEE, né le 1997-11-13 (Acte de Naissance portant le No 8 - Moka); titulaire d'une Carte Nationale d'Identité portant le No K1334567890987, software tester.</w:t>
      </w:r>
    </w:p>
    <w:p>
      <w:pPr/>
      <w:r>
        <w:rPr>
          <w:rFonts w:ascii="Times New Roman" w:hAnsi="Times New Roman" w:eastAsia="Times New Roman" w:cs="Times New Roman"/>
          <w:sz w:val="24"/>
          <w:szCs w:val="24"/>
        </w:rPr>
        <w:t xml:space="preserve">Et son épouse, Madame    née le  (Acte de Naissance portant le No  - Port Louis);titulaire d'une Carte Nationale d'Identité portant le No , , tous deux demeurant ensemble à Royal Road Lavenir St Pierre.</w:t>
      </w:r>
    </w:p>
    <w:p>
      <w:pPr>
        <w:pStyle w:val="Indent"/>
      </w:pPr>
      <w:r>
        <w:rPr>
          <w:rFonts w:ascii="Times New Roman" w:hAnsi="Times New Roman" w:eastAsia="Times New Roman" w:cs="Times New Roman"/>
          <w:sz w:val="24"/>
          <w:szCs w:val="24"/>
        </w:rPr>
        <w:t xml:space="preserve">Mariés en uniques noces - ainsi qu'ils le déclarent, le  sous le Régime Légal de Communauté (Acte de Mariage portant le No  - Port Louis); ce régime matrimonial n'a subi aucun changement.
                    ( Monsieur et Madame John RATTEE appelés au cours des présentes: 'vendeurs').</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Noor KHAYRATTEE né à Dr Jeetoo Hospital le 1997-11-13 (Acte de Naissance portant le No 7 - Moka);titulaire d'une Carte Nationale d'identité portant le No K1234567890987 Célibataire ainsi qu'il le déclare,'software tester', demeurant à Royal Road Lavenir St Pierre.</w:t>
      </w:r>
    </w:p>
    <w:p>
      <w:pPr>
        <w:pStyle w:val="Indent"/>
      </w:pPr>
      <w:r>
        <w:rPr>
          <w:rFonts w:ascii="Times New Roman" w:hAnsi="Times New Roman" w:eastAsia="Times New Roman" w:cs="Times New Roman"/>
          <w:sz w:val="24"/>
          <w:szCs w:val="24"/>
        </w:rPr>
        <w:t xml:space="preserve">(Monsieur Noor KHAYRATTEE appelé au cours des presentes: 'acquéreur').</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Port Louis,lieu dit gbd de la contenance de quatre mille cinq cent cinquante-quatre perches soit CINQ MILLE QUATRE CENT QUARANTE-CINQ METRES CARRES (5445 m2) - PIN No 5524
                    ] et bornée d'après le titre de propriété ci-après relate, d'après un rapport avec plan figuratif y joint,dresse par Monsieur sdfgsd gdf, arpenteur, le2018-03-06, enregistrée au Reg LS99/99048272, comme suit:</w:t>
      </w:r>
    </w:p>
    <w:p>
      <w:pPr>
        <w:pStyle w:val="Indent"/>
      </w:pPr>
      <w:r>
        <w:rPr>
          <w:rFonts w:ascii="Times New Roman" w:hAnsi="Times New Roman" w:eastAsia="Times New Roman" w:cs="Times New Roman"/>
          <w:sz w:val="24"/>
          <w:szCs w:val="24"/>
        </w:rPr>
        <w:t xml:space="preserve">fsfsdf</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2018-03-20 et 2018-03-29,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w:t>
      </w:r>
    </w:p>
    <w:p>
      <w:pPr>
        <w:pStyle w:val="Indent"/>
      </w:pPr>
      <w:r>
        <w:rPr>
          <w:rFonts w:ascii="Times New Roman" w:hAnsi="Times New Roman" w:eastAsia="Times New Roman" w:cs="Times New Roman"/>
          <w:sz w:val="24"/>
          <w:szCs w:val="24"/>
        </w:rPr>
        <w:t xml:space="preserve">fsfassdd</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DEUX CENT CINQUANTE MILLE (Rs1250000-)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30/03/2019</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2019-03-30T20:00:37+00:00</dcterms:created>
  <dcterms:modified xsi:type="dcterms:W3CDTF">2019-03-30T20:00:37+00:00</dcterms:modified>
</cp:coreProperties>
</file>

<file path=docProps/custom.xml><?xml version="1.0" encoding="utf-8"?>
<Properties xmlns="http://schemas.openxmlformats.org/officeDocument/2006/custom-properties" xmlns:vt="http://schemas.openxmlformats.org/officeDocument/2006/docPropsVTypes"/>
</file>