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eetstat-roadmap-do-komercjalizacji"/>
      <w:r>
        <w:t xml:space="preserve">FleetStat — Roadmap do komercjalizacji</w:t>
      </w:r>
      <w:bookmarkEnd w:id="20"/>
    </w:p>
    <w:p>
      <w:pPr>
        <w:pStyle w:val="FirstParagraph"/>
      </w:pPr>
      <w:r>
        <w:rPr>
          <w:b/>
        </w:rPr>
        <w:t xml:space="preserve">Ostatnia aktualizacja:</w:t>
      </w:r>
      <w:r>
        <w:t xml:space="preserve"> </w:t>
      </w:r>
      <w:r>
        <w:t xml:space="preserve">1 kwietnia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tatus-projektu"/>
      <w:r>
        <w:t xml:space="preserve">Status projektu</w:t>
      </w:r>
      <w:bookmarkEnd w:id="21"/>
    </w:p>
    <w:p>
      <w:pPr>
        <w:pStyle w:val="FirstParagraph"/>
      </w:pPr>
      <w:r>
        <w:t xml:space="preserve">FleetStat to aplikacja webowa (React + Firebase) do zarządzania flotą pojazdów. Hosting na Vercel, domena fleetstat.pl. Aplikacja jest w pełni funkcjonalna dla jednej firmy. Szacowany koszt wytworzenia: 70 000–100 000 PLN.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ac9c6331daa78f993909802545f35a9d9a9e90"/>
      <w:r>
        <w:t xml:space="preserve">ETAP 1 — Priorytet: Multi-tenancy i rejestracja (krytyczne)</w:t>
      </w:r>
      <w:bookmarkEnd w:id="22"/>
    </w:p>
    <w:p>
      <w:pPr>
        <w:pStyle w:val="Heading3"/>
      </w:pPr>
      <w:bookmarkStart w:id="23" w:name="multi-tenancy-izolacja-danych-firm"/>
      <w:r>
        <w:t xml:space="preserve">1.1 Multi-tenancy — izolacja danych firm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☐ Przebudowa struktury Firebase:</w:t>
      </w:r>
      <w:r>
        <w:t xml:space="preserve"> </w:t>
      </w:r>
      <w:r>
        <w:rPr>
          <w:rStyle w:val="VerbatimChar"/>
        </w:rPr>
        <w:t xml:space="preserve">firms/{firmId}/vehicles/...</w:t>
      </w:r>
    </w:p>
    <w:p>
      <w:pPr>
        <w:numPr>
          <w:ilvl w:val="0"/>
          <w:numId w:val="1001"/>
        </w:numPr>
        <w:pStyle w:val="Compact"/>
      </w:pPr>
      <w:r>
        <w:t xml:space="preserve">☐ Każda firma ma własne kolekcje (pojazdy, koszty, frachty, dokumenty, pauzy, sprawy)</w:t>
      </w:r>
    </w:p>
    <w:p>
      <w:pPr>
        <w:numPr>
          <w:ilvl w:val="0"/>
          <w:numId w:val="1001"/>
        </w:numPr>
        <w:pStyle w:val="Compact"/>
      </w:pPr>
      <w:r>
        <w:t xml:space="preserve">☐ Middleware sprawdzający przynależność użytkownika do firmy</w:t>
      </w:r>
    </w:p>
    <w:p>
      <w:pPr>
        <w:numPr>
          <w:ilvl w:val="0"/>
          <w:numId w:val="1001"/>
        </w:numPr>
        <w:pStyle w:val="Compact"/>
      </w:pPr>
      <w:r>
        <w:t xml:space="preserve">☐ Testy — dane jednej firmy nigdy nie widoczne dla innej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2–3 tygodnie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15 000–20 000 PLN</w:t>
      </w:r>
    </w:p>
    <w:p>
      <w:pPr>
        <w:pStyle w:val="Heading3"/>
      </w:pPr>
      <w:bookmarkStart w:id="24" w:name="rejestracja-i-onboarding"/>
      <w:r>
        <w:t xml:space="preserve">1.2 Rejestracja i onboarding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☐ Formularz rejestracji firmy (nazwa, NIP, email, hasło)</w:t>
      </w:r>
    </w:p>
    <w:p>
      <w:pPr>
        <w:numPr>
          <w:ilvl w:val="0"/>
          <w:numId w:val="1002"/>
        </w:numPr>
        <w:pStyle w:val="Compact"/>
      </w:pPr>
      <w:r>
        <w:t xml:space="preserve">☐ Weryfikacja email</w:t>
      </w:r>
    </w:p>
    <w:p>
      <w:pPr>
        <w:numPr>
          <w:ilvl w:val="0"/>
          <w:numId w:val="1002"/>
        </w:numPr>
        <w:pStyle w:val="Compact"/>
      </w:pPr>
      <w:r>
        <w:t xml:space="preserve">☐ Kreator wstępny: dodaj pierwszy pojazd, kierowcę</w:t>
      </w:r>
    </w:p>
    <w:p>
      <w:pPr>
        <w:numPr>
          <w:ilvl w:val="0"/>
          <w:numId w:val="1002"/>
        </w:numPr>
        <w:pStyle w:val="Compact"/>
      </w:pPr>
      <w:r>
        <w:t xml:space="preserve">☐ Trial 14 dni bez płatności</w:t>
      </w:r>
    </w:p>
    <w:p>
      <w:pPr>
        <w:numPr>
          <w:ilvl w:val="0"/>
          <w:numId w:val="1002"/>
        </w:numPr>
        <w:pStyle w:val="Compact"/>
      </w:pPr>
      <w:r>
        <w:t xml:space="preserve">☐ Zapraszanie pracowników do firmy (link/email)</w:t>
      </w:r>
    </w:p>
    <w:p>
      <w:pPr>
        <w:numPr>
          <w:ilvl w:val="0"/>
          <w:numId w:val="1002"/>
        </w:numPr>
        <w:pStyle w:val="Compact"/>
      </w:pPr>
      <w:r>
        <w:t xml:space="preserve">☐ Role w firmie: właściciel, dyspozytor, księgowa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1–2 tygodnie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5 000–8 000 PLN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tap-2-płatności-i-panel-admina"/>
      <w:r>
        <w:t xml:space="preserve">ETAP 2 — Płatności i panel admina</w:t>
      </w:r>
      <w:bookmarkEnd w:id="25"/>
    </w:p>
    <w:p>
      <w:pPr>
        <w:pStyle w:val="Heading3"/>
      </w:pPr>
      <w:bookmarkStart w:id="26" w:name="system-płatności-stripe-przelewy24"/>
      <w:r>
        <w:t xml:space="preserve">2.1 System płatności (Stripe / Przelewy24)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☐ Integracja z bramką płatności</w:t>
      </w:r>
    </w:p>
    <w:p>
      <w:pPr>
        <w:numPr>
          <w:ilvl w:val="0"/>
          <w:numId w:val="1003"/>
        </w:numPr>
        <w:pStyle w:val="Compact"/>
      </w:pPr>
      <w:r>
        <w:t xml:space="preserve">☐ Model cenowy:</w:t>
      </w:r>
      <w:r>
        <w:t xml:space="preserve"> </w:t>
      </w:r>
      <w:r>
        <w:rPr>
          <w:b/>
        </w:rPr>
        <w:t xml:space="preserve">29 PLN/pojazd/mc</w:t>
      </w:r>
      <w:r>
        <w:t xml:space="preserve"> </w:t>
      </w:r>
      <w:r>
        <w:t xml:space="preserve">(minimum 5 pojazdów = 145 PLN/mc)</w:t>
      </w:r>
    </w:p>
    <w:p>
      <w:pPr>
        <w:numPr>
          <w:ilvl w:val="1"/>
          <w:numId w:val="1004"/>
        </w:numPr>
        <w:pStyle w:val="Compact"/>
      </w:pPr>
      <w:r>
        <w:t xml:space="preserve">Docelowo 39–49 PLN/pojazd dla nowych klientów po rozbudowie funkcji (GPS, tachograf, raporty)</w:t>
      </w:r>
    </w:p>
    <w:p>
      <w:pPr>
        <w:numPr>
          <w:ilvl w:val="1"/>
          <w:numId w:val="1004"/>
        </w:numPr>
        <w:pStyle w:val="Compact"/>
      </w:pPr>
      <w:r>
        <w:t xml:space="preserve">Starzy klienci zachowują starą cenę (budowanie lojalności)</w:t>
      </w:r>
    </w:p>
    <w:p>
      <w:pPr>
        <w:numPr>
          <w:ilvl w:val="0"/>
          <w:numId w:val="1003"/>
        </w:numPr>
        <w:pStyle w:val="Compact"/>
      </w:pPr>
      <w:r>
        <w:t xml:space="preserve">☐ Automatyczne faktury VAT</w:t>
      </w:r>
    </w:p>
    <w:p>
      <w:pPr>
        <w:numPr>
          <w:ilvl w:val="0"/>
          <w:numId w:val="1003"/>
        </w:numPr>
        <w:pStyle w:val="Compact"/>
      </w:pPr>
      <w:r>
        <w:t xml:space="preserve">☐ Blokada dostępu po braku płatności (z grace period 7 dni)</w:t>
      </w:r>
    </w:p>
    <w:p>
      <w:pPr>
        <w:numPr>
          <w:ilvl w:val="0"/>
          <w:numId w:val="1003"/>
        </w:numPr>
        <w:pStyle w:val="Compact"/>
      </w:pPr>
      <w:r>
        <w:t xml:space="preserve">☐ Zmiana liczby pojazdów, anulowanie subskrypcji</w:t>
      </w:r>
    </w:p>
    <w:p>
      <w:pPr>
        <w:numPr>
          <w:ilvl w:val="0"/>
          <w:numId w:val="1003"/>
        </w:numPr>
        <w:pStyle w:val="Compact"/>
      </w:pPr>
      <w:r>
        <w:t xml:space="preserve">☐ Trial 14 dni bez płatności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2 tygodnie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8 000–12 000 PLN</w:t>
      </w:r>
    </w:p>
    <w:p>
      <w:pPr>
        <w:pStyle w:val="Heading3"/>
      </w:pPr>
      <w:bookmarkStart w:id="27" w:name="panel-super-admina-dla-ciebie"/>
      <w:r>
        <w:t xml:space="preserve">2.2 Panel super-admina (dla Ciebie)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☐ Lista firm z liczbą pojazdów, użytkowników</w:t>
      </w:r>
    </w:p>
    <w:p>
      <w:pPr>
        <w:numPr>
          <w:ilvl w:val="0"/>
          <w:numId w:val="1005"/>
        </w:numPr>
        <w:pStyle w:val="Compact"/>
      </w:pPr>
      <w:r>
        <w:t xml:space="preserve">☐ Status płatności każdej firmy</w:t>
      </w:r>
    </w:p>
    <w:p>
      <w:pPr>
        <w:numPr>
          <w:ilvl w:val="0"/>
          <w:numId w:val="1005"/>
        </w:numPr>
        <w:pStyle w:val="Compact"/>
      </w:pPr>
      <w:r>
        <w:t xml:space="preserve">☐ Blokowanie/odblokowywanie kont</w:t>
      </w:r>
    </w:p>
    <w:p>
      <w:pPr>
        <w:numPr>
          <w:ilvl w:val="0"/>
          <w:numId w:val="1005"/>
        </w:numPr>
        <w:pStyle w:val="Compact"/>
      </w:pPr>
      <w:r>
        <w:t xml:space="preserve">☐ Statystyki: ile firm, ile pojazdów łącznie, MRR</w:t>
      </w:r>
    </w:p>
    <w:p>
      <w:pPr>
        <w:numPr>
          <w:ilvl w:val="0"/>
          <w:numId w:val="1005"/>
        </w:numPr>
        <w:pStyle w:val="Compact"/>
      </w:pPr>
      <w:r>
        <w:t xml:space="preserve">☐ Logi aktywności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1 tydzień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4 000–6 000 PLN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tap-3-prawo-i-bezpieczeństwo"/>
      <w:r>
        <w:t xml:space="preserve">ETAP 3 — Prawo i bezpieczeństwo</w:t>
      </w:r>
      <w:bookmarkEnd w:id="28"/>
    </w:p>
    <w:p>
      <w:pPr>
        <w:pStyle w:val="Heading3"/>
      </w:pPr>
      <w:bookmarkStart w:id="29" w:name="Xa6be8e607fdf12eb2300207a7c89fd3e4af2227"/>
      <w:r>
        <w:t xml:space="preserve">3.1 RODO / GDPR — obowiązkowe przed pierwszym klientem</w:t>
      </w:r>
      <w:bookmarkEnd w:id="29"/>
    </w:p>
    <w:p>
      <w:pPr>
        <w:pStyle w:val="FirstParagraph"/>
      </w:pPr>
      <w:r>
        <w:rPr>
          <w:b/>
        </w:rPr>
        <w:t xml:space="preserve">Dlaczego:</w:t>
      </w:r>
      <w:r>
        <w:t xml:space="preserve"> </w:t>
      </w:r>
      <w:r>
        <w:t xml:space="preserve">Przetwarzacie dane osobowe (imiona kierowców, emaile, NIP-y). Kary UODO: do 20 mln EUR, realistycznie 50–200 tys. PLN. Bez RODO żaden poważny klient nie podpisze umowy.</w:t>
      </w:r>
    </w:p>
    <w:p>
      <w:pPr>
        <w:pStyle w:val="BodyText"/>
      </w:pPr>
      <w:r>
        <w:rPr>
          <w:b/>
        </w:rPr>
        <w:t xml:space="preserve">Dokumenty do przygotowania:</w:t>
      </w:r>
      <w:r>
        <w:t xml:space="preserve"> </w:t>
      </w:r>
      <w:r>
        <w:t xml:space="preserve">- [ ] Polityka prywatności — jakie dane, po co, jak długo, komu (Firebase/Google, Vercel). Po polsku, link z każdej strony apki</w:t>
      </w:r>
      <w:r>
        <w:t xml:space="preserve"> </w:t>
      </w:r>
      <w:r>
        <w:t xml:space="preserve">- [ ] Regulamin SaaS — warunki korzystania, odpowiedzialność, płatności, wypowiedzenie</w:t>
      </w:r>
      <w:r>
        <w:t xml:space="preserve"> </w:t>
      </w:r>
      <w:r>
        <w:t xml:space="preserve">- [ ] Umowa powierzenia przetwarzania danych (DPA) — KLUCZOWE. Wy = procesor, firma transportowa = administrator. Bez tego klient korporacyjny nie podpisze kontraktu</w:t>
      </w:r>
      <w:r>
        <w:t xml:space="preserve"> </w:t>
      </w:r>
      <w:r>
        <w:t xml:space="preserve">- [ ] Rejestr czynności przetwarzania — wewnętrzny dokument: jakie dane, skąd, po co, jak długo, kto ma dostęp. Wymagany na kontrolę UODO</w:t>
      </w:r>
      <w:r>
        <w:t xml:space="preserve"> </w:t>
      </w:r>
      <w:r>
        <w:t xml:space="preserve">- [ ] Prawo do usunięcia danych — przycisk</w:t>
      </w:r>
      <w:r>
        <w:t xml:space="preserve"> </w:t>
      </w:r>
      <w:r>
        <w:t xml:space="preserve">“</w:t>
      </w:r>
      <w:r>
        <w:t xml:space="preserve">Usuń konto i dane</w:t>
      </w:r>
      <w:r>
        <w:t xml:space="preserve">”</w:t>
      </w:r>
      <w:r>
        <w:t xml:space="preserve"> </w:t>
      </w:r>
      <w:r>
        <w:t xml:space="preserve">lub procedura na żądanie</w:t>
      </w:r>
      <w:r>
        <w:t xml:space="preserve"> </w:t>
      </w:r>
      <w:r>
        <w:t xml:space="preserve">- [ ] Cookie banner — Vercel i Firebase stawiają ciasteczka. Gotowe: CookieYes / Cookiebot (darmowe do pewnego limitu)</w:t>
      </w:r>
      <w:r>
        <w:t xml:space="preserve"> </w:t>
      </w:r>
      <w:r>
        <w:t xml:space="preserve">- [ ] Checkbox akceptacji regulaminu + polityki prywatności przy rejestracji</w:t>
      </w:r>
      <w:r>
        <w:t xml:space="preserve"> </w:t>
      </w:r>
      <w:r>
        <w:t xml:space="preserve">- [ ] DPIA (ocena skutków) — zalecane bo GPS tracking kierowców = monitoring pracowników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IOD (Inspektor Ochrony Danych):</w:t>
      </w:r>
      <w:r>
        <w:t xml:space="preserve"> </w:t>
      </w:r>
      <w:r>
        <w:t xml:space="preserve">NIE wymagany na start. Przy 200+ firmach warto rozważyć (~2 000 PLN/mc)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Koszt u prawnika:</w:t>
      </w:r>
      <w:r>
        <w:t xml:space="preserve"> </w:t>
      </w:r>
      <w:r>
        <w:t xml:space="preserve">2 000–5 000 PLN za komplet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Czas:</w:t>
      </w:r>
      <w:r>
        <w:t xml:space="preserve"> </w:t>
      </w:r>
      <w:r>
        <w:t xml:space="preserve">1–2 tygodnie</w:t>
      </w:r>
    </w:p>
    <w:p>
      <w:pPr>
        <w:pStyle w:val="Heading3"/>
      </w:pPr>
      <w:bookmarkStart w:id="30" w:name="certyfikaty-i-licencje"/>
      <w:r>
        <w:t xml:space="preserve">3.2 Certyfikaty i licencje</w:t>
      </w:r>
      <w:bookmarkEnd w:id="30"/>
    </w:p>
    <w:p>
      <w:pPr>
        <w:pStyle w:val="Heading4"/>
      </w:pPr>
      <w:bookmarkStart w:id="31" w:name="certyfikaty-co-jest-potrzebne"/>
      <w:r>
        <w:t xml:space="preserve">Certyfikaty — co jest potrzebne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Certyfikat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Wymagany?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Kiedy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Koszt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(bezpieczeństwo informacji)</w:t>
            </w:r>
          </w:p>
        </w:tc>
        <w:tc>
          <w:p>
            <w:pPr>
              <w:pStyle w:val="Compact"/>
              <w:jc w:val="left"/>
            </w:pPr>
            <w:r>
              <w:t xml:space="preserve">Nie, ale klienci korporacyjni pytają</w:t>
            </w:r>
          </w:p>
        </w:tc>
        <w:tc>
          <w:p>
            <w:pPr>
              <w:pStyle w:val="Compact"/>
              <w:jc w:val="left"/>
            </w:pPr>
            <w:r>
              <w:t xml:space="preserve">Przy 100+ firmach</w:t>
            </w:r>
          </w:p>
        </w:tc>
        <w:tc>
          <w:p>
            <w:pPr>
              <w:pStyle w:val="Compact"/>
              <w:jc w:val="left"/>
            </w:pPr>
            <w:r>
              <w:t xml:space="preserve">15 000–40 000 PLN + audyt ~10 000 PLN/rok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</w:t>
            </w:r>
          </w:p>
        </w:tc>
        <w:tc>
          <w:p>
            <w:pPr>
              <w:pStyle w:val="Compact"/>
              <w:jc w:val="left"/>
            </w:pPr>
            <w:r>
              <w:t xml:space="preserve">Nie (standard USA)</w:t>
            </w:r>
          </w:p>
        </w:tc>
        <w:tc>
          <w:p>
            <w:pPr>
              <w:pStyle w:val="Compact"/>
              <w:jc w:val="left"/>
            </w:pPr>
            <w:r>
              <w:t xml:space="preserve">Nigdy, chyba że rynek USA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Licencja transportowa</w:t>
            </w:r>
          </w:p>
        </w:tc>
        <w:tc>
          <w:p>
            <w:pPr>
              <w:pStyle w:val="Compact"/>
              <w:jc w:val="left"/>
            </w:pPr>
            <w:r>
              <w:t xml:space="preserve">Nie (to dla przewoźników, nie dla software)</w:t>
            </w:r>
          </w:p>
        </w:tc>
        <w:tc>
          <w:p>
            <w:pPr>
              <w:pStyle w:val="Compact"/>
              <w:jc w:val="left"/>
            </w:pPr>
            <w:r>
              <w:t xml:space="preserve">Nigdy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 2 (cyberbezpieczeństwo UE)</w:t>
            </w:r>
          </w:p>
        </w:tc>
        <w:tc>
          <w:p>
            <w:pPr>
              <w:pStyle w:val="Compact"/>
              <w:jc w:val="left"/>
            </w:pPr>
            <w:r>
              <w:t xml:space="preserve">Nie (dotyczy dużych operatorów)</w:t>
            </w:r>
          </w:p>
        </w:tc>
        <w:tc>
          <w:p>
            <w:pPr>
              <w:pStyle w:val="Compact"/>
              <w:jc w:val="left"/>
            </w:pPr>
            <w:r>
              <w:t xml:space="preserve">Nie dotyczy małych SaaS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Certyfikat deweloperski</w:t>
            </w:r>
          </w:p>
        </w:tc>
        <w:tc>
          <w:p>
            <w:pPr>
              <w:pStyle w:val="Compact"/>
              <w:jc w:val="left"/>
            </w:pPr>
            <w:r>
              <w:t xml:space="preserve">Nie istnieje taki wymóg</w:t>
            </w:r>
          </w:p>
        </w:tc>
        <w:tc>
          <w:p>
            <w:pPr>
              <w:pStyle w:val="Compact"/>
              <w:jc w:val="left"/>
            </w:pPr>
            <w:r>
              <w:t xml:space="preserve">Nigdy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Rekomendacja na start:</w:t>
      </w:r>
      <w:r>
        <w:t xml:space="preserve"> </w:t>
      </w:r>
      <w:r>
        <w:t xml:space="preserve">Zero certyfikatów. Wdrożenie realnych zabezpieczeń (Firestore Rules, backup, 2FA) jest ważniejsze niż papier. ISO 27001 rozważyć przy skali 100+ firm.</w:t>
      </w:r>
    </w:p>
    <w:p>
      <w:pPr>
        <w:pStyle w:val="Heading4"/>
      </w:pPr>
      <w:bookmarkStart w:id="32" w:name="Xd3b43063c332755c1b375979a6ee43f51dd5a3f"/>
      <w:r>
        <w:t xml:space="preserve">Licencje technologiczne — BRAK PRZECIWWSKAZAŃ do użytku komercyjnego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Licencja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Komercyjne użycie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Koszt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MIT (open source)</w:t>
            </w:r>
          </w:p>
        </w:tc>
        <w:tc>
          <w:p>
            <w:pPr>
              <w:pStyle w:val="Compact"/>
              <w:jc w:val="left"/>
            </w:pPr>
            <w:r>
              <w:t xml:space="preserve">Tak, bez ograniczeń</w:t>
            </w:r>
          </w:p>
        </w:tc>
        <w:tc>
          <w:p>
            <w:pPr>
              <w:pStyle w:val="Compact"/>
              <w:jc w:val="left"/>
            </w:pPr>
            <w:r>
              <w:t xml:space="preserve">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t xml:space="preserve">Tak, bez ograniczeń</w:t>
            </w:r>
          </w:p>
        </w:tc>
        <w:tc>
          <w:p>
            <w:pPr>
              <w:pStyle w:val="Compact"/>
              <w:jc w:val="left"/>
            </w:pPr>
            <w:r>
              <w:t xml:space="preserve">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t xml:space="preserve">Tak, bez ograniczeń</w:t>
            </w:r>
          </w:p>
        </w:tc>
        <w:tc>
          <w:p>
            <w:pPr>
              <w:pStyle w:val="Compact"/>
              <w:jc w:val="left"/>
            </w:pPr>
            <w:r>
              <w:t xml:space="preserve">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</w:t>
            </w:r>
          </w:p>
        </w:tc>
        <w:tc>
          <w:p>
            <w:pPr>
              <w:pStyle w:val="Compact"/>
              <w:jc w:val="left"/>
            </w:pPr>
            <w:r>
              <w:t xml:space="preserve">Google ToS</w:t>
            </w:r>
          </w:p>
        </w:tc>
        <w:tc>
          <w:p>
            <w:pPr>
              <w:pStyle w:val="Compact"/>
              <w:jc w:val="left"/>
            </w:pPr>
            <w:r>
              <w:t xml:space="preserve">Tak — płacisz za użycie</w:t>
            </w:r>
          </w:p>
        </w:tc>
        <w:tc>
          <w:p>
            <w:pPr>
              <w:pStyle w:val="Compact"/>
              <w:jc w:val="left"/>
            </w:pPr>
            <w:r>
              <w:t xml:space="preserve">Darmowy tier, potem pay-as-you-go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Vercel ToS</w:t>
            </w:r>
          </w:p>
        </w:tc>
        <w:tc>
          <w:p>
            <w:pPr>
              <w:pStyle w:val="Compact"/>
              <w:jc w:val="left"/>
            </w:pPr>
            <w:r>
              <w:t xml:space="preserve">Tak —</w:t>
            </w:r>
            <w:r>
              <w:t xml:space="preserve"> </w:t>
            </w:r>
            <w:r>
              <w:rPr>
                <w:b/>
              </w:rPr>
              <w:t xml:space="preserve">wymaga planu Pro przy komercji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$20/mc (~85 PLN)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p>
            <w:pPr>
              <w:pStyle w:val="Compact"/>
              <w:jc w:val="left"/>
            </w:pPr>
            <w:r>
              <w:t xml:space="preserve">Google ToS</w:t>
            </w:r>
          </w:p>
        </w:tc>
        <w:tc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p>
            <w:pPr>
              <w:pStyle w:val="Compact"/>
              <w:jc w:val="left"/>
            </w:pPr>
            <w:r>
              <w:t xml:space="preserve">Darmowe do 50K użytkowników/mc</w:t>
            </w:r>
          </w:p>
        </w:tc>
      </w:tr>
    </w:tbl>
    <w:p>
      <w:pPr>
        <w:pStyle w:val="BodyText"/>
      </w:pPr>
      <w:r>
        <w:rPr>
          <w:b/>
        </w:rPr>
        <w:t xml:space="preserve">Jedyny obowiązkowy koszt licencyjny:</w:t>
      </w:r>
      <w:r>
        <w:t xml:space="preserve"> </w:t>
      </w:r>
      <w:r>
        <w:t xml:space="preserve">Vercel Pro $20/mc — plan Hobby (darmowy) jest tylko do użytku niekomercyjnego.</w:t>
      </w:r>
    </w:p>
    <w:p>
      <w:pPr>
        <w:pStyle w:val="Heading3"/>
      </w:pPr>
      <w:bookmarkStart w:id="33" w:name="bezpieczeństwo-i-architektura"/>
      <w:r>
        <w:t xml:space="preserve">3.2 Bezpieczeństwo i architektura</w:t>
      </w:r>
      <w:bookmarkEnd w:id="33"/>
    </w:p>
    <w:p>
      <w:pPr>
        <w:pStyle w:val="Heading4"/>
      </w:pPr>
      <w:bookmarkStart w:id="34" w:name="obecny-stack-technologiczny"/>
      <w:r>
        <w:t xml:space="preserve">Obecny stack technologiczny</w:t>
      </w:r>
      <w:bookmarkEnd w:id="34"/>
    </w:p>
    <w:tbl>
      <w:tblPr>
        <w:tblStyle w:val="Table"/>
        <w:tblW w:type="pct" w:w="5000.0"/>
        <w:tblLook w:firstRow="1"/>
      </w:tblPr>
      <w:tblGrid>
        <w:gridCol w:w="2376"/>
        <w:gridCol w:w="3432"/>
        <w:gridCol w:w="21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Warstwa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(Vite) — single file App.jsx</w:t>
            </w:r>
          </w:p>
        </w:tc>
        <w:tc>
          <w:p>
            <w:pPr>
              <w:pStyle w:val="Compact"/>
              <w:jc w:val="left"/>
            </w:pPr>
            <w:r>
              <w:t xml:space="preserve">Działa produkcyjnie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Backend/DB</w:t>
            </w:r>
          </w:p>
        </w:tc>
        <w:tc>
          <w:p>
            <w:pPr>
              <w:pStyle w:val="Compact"/>
              <w:jc w:val="left"/>
            </w:pPr>
            <w:r>
              <w:t xml:space="preserve">Firebase Firestore (serverless)</w:t>
            </w:r>
          </w:p>
        </w:tc>
        <w:tc>
          <w:p>
            <w:pPr>
              <w:pStyle w:val="Compact"/>
              <w:jc w:val="left"/>
            </w:pPr>
            <w:r>
              <w:t xml:space="preserve">Brak serwera — klient łączy się bezpośrednio z bazą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Firebase Authentication (email/password)</w:t>
            </w:r>
          </w:p>
        </w:tc>
        <w:tc>
          <w:p>
            <w:pPr>
              <w:pStyle w:val="Compact"/>
              <w:jc w:val="left"/>
            </w:pPr>
            <w:r>
              <w:t xml:space="preserve">Działa, brakuje 2FA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Firebase Storage</w:t>
            </w:r>
          </w:p>
        </w:tc>
        <w:tc>
          <w:p>
            <w:pPr>
              <w:pStyle w:val="Compact"/>
              <w:jc w:val="left"/>
            </w:pPr>
            <w:r>
              <w:t xml:space="preserve">Działa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 (CDN globalny, SSL automatyczny)</w:t>
            </w:r>
          </w:p>
        </w:tc>
        <w:tc>
          <w:p>
            <w:pPr>
              <w:pStyle w:val="Compact"/>
              <w:jc w:val="left"/>
            </w:pPr>
            <w:r>
              <w:t xml:space="preserve">Działa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+ manifest</w:t>
            </w:r>
          </w:p>
        </w:tc>
        <w:tc>
          <w:p>
            <w:pPr>
              <w:pStyle w:val="Compact"/>
              <w:jc w:val="left"/>
            </w:pPr>
            <w:r>
              <w:t xml:space="preserve">Działa</w:t>
            </w:r>
          </w:p>
        </w:tc>
      </w:tr>
    </w:tbl>
    <w:p>
      <w:pPr>
        <w:pStyle w:val="Heading4"/>
      </w:pPr>
      <w:bookmarkStart w:id="35" w:name="plan-rozwoju-infrastruktury"/>
      <w:r>
        <w:t xml:space="preserve">Plan rozwoju infrastruktury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Rozwiązanie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Koszt/mc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Kiedy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Teraz → 30 firm</w:t>
            </w:r>
          </w:p>
        </w:tc>
        <w:tc>
          <w:p>
            <w:pPr>
              <w:pStyle w:val="Compact"/>
              <w:jc w:val="left"/>
            </w:pPr>
            <w:r>
              <w:t xml:space="preserve">Firebase + Cloud Functions</w:t>
            </w:r>
          </w:p>
        </w:tc>
        <w:tc>
          <w:p>
            <w:pPr>
              <w:pStyle w:val="Compact"/>
              <w:jc w:val="left"/>
            </w:pPr>
            <w:r>
              <w:t xml:space="preserve">0–50 PLN</w:t>
            </w:r>
          </w:p>
        </w:tc>
        <w:tc>
          <w:p>
            <w:pPr>
              <w:pStyle w:val="Compact"/>
              <w:jc w:val="left"/>
            </w:pPr>
            <w:r>
              <w:t xml:space="preserve">Natychmiast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30–100 firm</w:t>
            </w:r>
          </w:p>
        </w:tc>
        <w:tc>
          <w:p>
            <w:pPr>
              <w:pStyle w:val="Compact"/>
              <w:jc w:val="left"/>
            </w:pPr>
            <w:r>
              <w:t xml:space="preserve">Firebase + Cloud Functions + osobna baza GPS</w:t>
            </w:r>
          </w:p>
        </w:tc>
        <w:tc>
          <w:p>
            <w:pPr>
              <w:pStyle w:val="Compact"/>
              <w:jc w:val="left"/>
            </w:pPr>
            <w:r>
              <w:t xml:space="preserve">50–200 PLN</w:t>
            </w:r>
          </w:p>
        </w:tc>
        <w:tc>
          <w:p>
            <w:pPr>
              <w:pStyle w:val="Compact"/>
              <w:jc w:val="left"/>
            </w:pPr>
            <w:r>
              <w:t xml:space="preserve">Rok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100+ firm</w:t>
            </w:r>
          </w:p>
        </w:tc>
        <w:tc>
          <w:p>
            <w:pPr>
              <w:pStyle w:val="Compact"/>
              <w:jc w:val="left"/>
            </w:pPr>
            <w:r>
              <w:t xml:space="preserve">Migracja na Supabase lub PostgreSQL + Node.js</w:t>
            </w:r>
          </w:p>
        </w:tc>
        <w:tc>
          <w:p>
            <w:pPr>
              <w:pStyle w:val="Compact"/>
              <w:jc w:val="left"/>
            </w:pPr>
            <w:r>
              <w:t xml:space="preserve">100–500 PLN</w:t>
            </w:r>
          </w:p>
        </w:tc>
        <w:tc>
          <w:p>
            <w:pPr>
              <w:pStyle w:val="Compact"/>
              <w:jc w:val="left"/>
            </w:pPr>
            <w:r>
              <w:t xml:space="preserve">Rok 2+</w:t>
            </w:r>
          </w:p>
        </w:tc>
      </w:tr>
    </w:tbl>
    <w:p>
      <w:pPr>
        <w:pStyle w:val="BodyText"/>
      </w:pPr>
      <w:r>
        <w:rPr>
          <w:b/>
        </w:rPr>
        <w:t xml:space="preserve">Rekomendacja: Firebase + Cloud Functions</w:t>
      </w:r>
      <w:r>
        <w:t xml:space="preserve"> </w:t>
      </w:r>
      <w:r>
        <w:t xml:space="preserve">— dodanie warstwy serwerowej bez migracji. Cloud Functions dają: logikę biznesową po stronie serwera, automatyczne emaile, generowanie PDF, webhooki (GPS, płatności, Trans.eu), scheduled tasks (backupy, raporty). Darmowe do 2 mln wywołań/mc. Czas wdrożenia: 1–2 tygodnie.</w:t>
      </w:r>
    </w:p>
    <w:p>
      <w:pPr>
        <w:pStyle w:val="Heading4"/>
      </w:pPr>
      <w:bookmarkStart w:id="36" w:name="Xab9758caa7c289250d1c6be429f65eb35315866"/>
      <w:r>
        <w:t xml:space="preserve">Krytyczne problemy do naprawienia (PRZED komercjalizacją)</w:t>
      </w:r>
      <w:bookmarkEnd w:id="36"/>
    </w:p>
    <w:p>
      <w:pPr>
        <w:pStyle w:val="FirstParagraph"/>
      </w:pPr>
      <w:r>
        <w:rPr>
          <w:b/>
        </w:rPr>
        <w:t xml:space="preserve">PRIORYTET 1 — Firestore Security Rules (brakuje!):</w:t>
      </w:r>
      <w:r>
        <w:t xml:space="preserve"> </w:t>
      </w:r>
      <w:r>
        <w:t xml:space="preserve">- [ ] Napisać reguły bezpieczeństwa dla każdej kolekcji (vehicles, costs, frachty, docs, pauzy, sprawy)</w:t>
      </w:r>
      <w:r>
        <w:t xml:space="preserve"> </w:t>
      </w:r>
      <w:r>
        <w:t xml:space="preserve">- [ ] Reguły muszą sprawdzać</w:t>
      </w:r>
      <w:r>
        <w:t xml:space="preserve"> </w:t>
      </w:r>
      <w:r>
        <w:rPr>
          <w:rStyle w:val="VerbatimChar"/>
        </w:rPr>
        <w:t xml:space="preserve">request.auth.uid</w:t>
      </w:r>
      <w:r>
        <w:t xml:space="preserve"> </w:t>
      </w:r>
      <w:r>
        <w:t xml:space="preserve">— czy użytkownik ma prawo do danego dokumentu</w:t>
      </w:r>
      <w:r>
        <w:t xml:space="preserve"> </w:t>
      </w:r>
      <w:r>
        <w:t xml:space="preserve">- [ ] Bez tego KAŻDY zalogowany user może czytać/pisać WSZYSTKIE dane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Wysiłek:</w:t>
      </w:r>
      <w:r>
        <w:t xml:space="preserve"> </w:t>
      </w:r>
      <w:r>
        <w:t xml:space="preserve">1 dzień, ale krytyczne</w:t>
      </w:r>
    </w:p>
    <w:p>
      <w:pPr>
        <w:pStyle w:val="BodyText"/>
      </w:pPr>
      <w:r>
        <w:rPr>
          <w:b/>
        </w:rPr>
        <w:t xml:space="preserve">PRIORYTET 2 — Role po stronie serwera (Custom Claims):</w:t>
      </w:r>
      <w:r>
        <w:t xml:space="preserve"> </w:t>
      </w:r>
      <w:r>
        <w:t xml:space="preserve">- [ ] Przenieść role (admin/dyspozytor/podgląd) z Firestore do Firebase Auth Custom Claims</w:t>
      </w:r>
      <w:r>
        <w:t xml:space="preserve"> </w:t>
      </w:r>
      <w:r>
        <w:t xml:space="preserve">- [ ] Role sprawdzane w tokenie JWT + Firestore Rules, nie tylko na frontendzie</w:t>
      </w:r>
      <w:r>
        <w:t xml:space="preserve"> </w:t>
      </w:r>
      <w:r>
        <w:t xml:space="preserve">- [ ] Teraz role ukrywają przyciski, ale nie blokują dostępu do danych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Wysiłek:</w:t>
      </w:r>
      <w:r>
        <w:t xml:space="preserve"> </w:t>
      </w:r>
      <w:r>
        <w:t xml:space="preserve">2–3 dni</w:t>
      </w:r>
    </w:p>
    <w:p>
      <w:pPr>
        <w:pStyle w:val="BodyText"/>
      </w:pPr>
      <w:r>
        <w:rPr>
          <w:b/>
        </w:rPr>
        <w:t xml:space="preserve">PRIORYTET 3 — Cloud Functions (warstwa serwerowa):</w:t>
      </w:r>
      <w:r>
        <w:t xml:space="preserve"> </w:t>
      </w:r>
      <w:r>
        <w:t xml:space="preserve">- [ ] Wdrożenie Firebase Cloud Functions</w:t>
      </w:r>
      <w:r>
        <w:t xml:space="preserve"> </w:t>
      </w:r>
      <w:r>
        <w:t xml:space="preserve">- [ ] Przeniesienie krytycznych operacji (zapis, usuwanie, zmiana ról) do funkcji serwerowych</w:t>
      </w:r>
      <w:r>
        <w:t xml:space="preserve"> </w:t>
      </w:r>
      <w:r>
        <w:t xml:space="preserve">- [ ] Walidacja danych po stronie serwera</w:t>
      </w:r>
      <w:r>
        <w:t xml:space="preserve"> </w:t>
      </w:r>
      <w:r>
        <w:t xml:space="preserve">- [ ] Webhook endpoint dla integracji GPS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Wysiłek:</w:t>
      </w:r>
      <w:r>
        <w:t xml:space="preserve"> </w:t>
      </w:r>
      <w:r>
        <w:t xml:space="preserve">1–2 tygodnie</w:t>
      </w:r>
    </w:p>
    <w:p>
      <w:pPr>
        <w:pStyle w:val="Heading4"/>
      </w:pPr>
      <w:bookmarkStart w:id="37" w:name="zabezpieczenia-do-wdrożenia"/>
      <w:r>
        <w:t xml:space="preserve">Zabezpieczenia do wdrożenia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☐ Automatyczny backup Firestore (codziennie do Cloud Storage)</w:t>
      </w:r>
    </w:p>
    <w:p>
      <w:pPr>
        <w:numPr>
          <w:ilvl w:val="0"/>
          <w:numId w:val="1006"/>
        </w:numPr>
        <w:pStyle w:val="Compact"/>
      </w:pPr>
      <w:r>
        <w:t xml:space="preserve">☐ Logi aktywności użytkowników (kolekcja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: kto/co/kiedy)</w:t>
      </w:r>
    </w:p>
    <w:p>
      <w:pPr>
        <w:numPr>
          <w:ilvl w:val="0"/>
          <w:numId w:val="1006"/>
        </w:numPr>
        <w:pStyle w:val="Compact"/>
      </w:pPr>
      <w:r>
        <w:t xml:space="preserve">☐ Dwuskładnikowe uwierzytelnianie 2FA (Firebase Auth TOTP/SMS)</w:t>
      </w:r>
    </w:p>
    <w:p>
      <w:pPr>
        <w:numPr>
          <w:ilvl w:val="0"/>
          <w:numId w:val="1006"/>
        </w:numPr>
        <w:pStyle w:val="Compact"/>
      </w:pPr>
      <w:r>
        <w:t xml:space="preserve">☐ Rate limiting na logowanie (ochrona brute-force)</w:t>
      </w:r>
    </w:p>
    <w:p>
      <w:pPr>
        <w:numPr>
          <w:ilvl w:val="0"/>
          <w:numId w:val="1006"/>
        </w:numPr>
        <w:pStyle w:val="Compact"/>
      </w:pPr>
      <w:r>
        <w:t xml:space="preserve">☐ Content Security Policy — nagłówki HTTP w vercel.json</w:t>
      </w:r>
    </w:p>
    <w:p>
      <w:pPr>
        <w:numPr>
          <w:ilvl w:val="0"/>
          <w:numId w:val="1006"/>
        </w:numPr>
        <w:pStyle w:val="Compact"/>
      </w:pPr>
      <w:r>
        <w:t xml:space="preserve">☐ CORS — ograniczenie dostępu tylko z fleetstat.pl</w:t>
      </w:r>
    </w:p>
    <w:p>
      <w:pPr>
        <w:numPr>
          <w:ilvl w:val="0"/>
          <w:numId w:val="1006"/>
        </w:numPr>
        <w:pStyle w:val="Compact"/>
      </w:pPr>
      <w:r>
        <w:t xml:space="preserve">☐ Szyfrowanie wrażliwych danych (NIP, dane kierowców)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1–2 tygodnie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6 000–10 000 PLN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etap-4-landing-page-i-marketing"/>
      <w:r>
        <w:t xml:space="preserve">ETAP 4 — Landing page i marketing</w:t>
      </w:r>
      <w:bookmarkEnd w:id="38"/>
    </w:p>
    <w:p>
      <w:pPr>
        <w:pStyle w:val="Heading3"/>
      </w:pPr>
      <w:bookmarkStart w:id="39" w:name="strona-sprzedażowa"/>
      <w:r>
        <w:t xml:space="preserve">4.1 Strona sprzedażowa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☐ Landing page na fleetstat.pl (osobna od apki)</w:t>
      </w:r>
    </w:p>
    <w:p>
      <w:pPr>
        <w:numPr>
          <w:ilvl w:val="0"/>
          <w:numId w:val="1007"/>
        </w:numPr>
        <w:pStyle w:val="Compact"/>
      </w:pPr>
      <w:r>
        <w:t xml:space="preserve">☐ Sekcje: funkcje, cennik, FAQ, demo, kontakt</w:t>
      </w:r>
    </w:p>
    <w:p>
      <w:pPr>
        <w:numPr>
          <w:ilvl w:val="0"/>
          <w:numId w:val="1007"/>
        </w:numPr>
        <w:pStyle w:val="Compact"/>
      </w:pPr>
      <w:r>
        <w:t xml:space="preserve">☐ Formularz</w:t>
      </w:r>
      <w:r>
        <w:t xml:space="preserve"> </w:t>
      </w:r>
      <w:r>
        <w:t xml:space="preserve">“</w:t>
      </w:r>
      <w:r>
        <w:t xml:space="preserve">Umów demo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Rozpocznij trial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☐ Responsywna, szybka, SEO-friendly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3–5 dni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3 000–5 000 PLN</w:t>
      </w:r>
    </w:p>
    <w:p>
      <w:pPr>
        <w:pStyle w:val="Heading3"/>
      </w:pPr>
      <w:bookmarkStart w:id="40" w:name="seo-i-content-marketing"/>
      <w:r>
        <w:t xml:space="preserve">4.2 SEO i content marketing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☐ Optymalizacja na frazy:</w:t>
      </w:r>
      <w:r>
        <w:t xml:space="preserve"> </w:t>
      </w:r>
      <w:r>
        <w:t xml:space="preserve">“</w:t>
      </w:r>
      <w:r>
        <w:t xml:space="preserve">zarządzanie flotą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aplikacja dla firmy transportowej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program do floty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☐ Blog z artykułami branżowymi (czas pracy kierowcy, rozliczanie paliwa, przepisy transportowe)</w:t>
      </w:r>
    </w:p>
    <w:p>
      <w:pPr>
        <w:numPr>
          <w:ilvl w:val="0"/>
          <w:numId w:val="1008"/>
        </w:numPr>
        <w:pStyle w:val="Compact"/>
      </w:pPr>
      <w:r>
        <w:t xml:space="preserve">☐ Google Ads kampania testowa (budżet 500–1000 PLN/mc)</w:t>
      </w:r>
    </w:p>
    <w:p>
      <w:pPr>
        <w:numPr>
          <w:ilvl w:val="0"/>
          <w:numId w:val="1008"/>
        </w:numPr>
        <w:pStyle w:val="Compact"/>
      </w:pPr>
      <w:r>
        <w:t xml:space="preserve">☐ Profile na LinkedIn, Facebook (grupy transportowe)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Budżet miesięczny:</w:t>
      </w:r>
      <w:r>
        <w:t xml:space="preserve"> </w:t>
      </w:r>
      <w:r>
        <w:t xml:space="preserve">500–2 000 PLN</w:t>
      </w:r>
    </w:p>
    <w:p>
      <w:pPr>
        <w:pStyle w:val="Heading3"/>
      </w:pPr>
      <w:bookmarkStart w:id="41" w:name="strategia-pozyskiwania-klientów"/>
      <w:r>
        <w:t xml:space="preserve">4.3 Strategia pozyskiwania klientów</w:t>
      </w:r>
      <w:bookmarkEnd w:id="41"/>
    </w:p>
    <w:p>
      <w:pPr>
        <w:numPr>
          <w:ilvl w:val="0"/>
          <w:numId w:val="1009"/>
        </w:numPr>
        <w:pStyle w:val="Compact"/>
      </w:pPr>
      <w:r>
        <w:t xml:space="preserve">☐ Znaleźć 3–5 firm transportowych na pilota (za darmo lub symbolicznie)</w:t>
      </w:r>
    </w:p>
    <w:p>
      <w:pPr>
        <w:numPr>
          <w:ilvl w:val="0"/>
          <w:numId w:val="1009"/>
        </w:numPr>
        <w:pStyle w:val="Compact"/>
      </w:pPr>
      <w:r>
        <w:t xml:space="preserve">☐ Zebrać feedback przez 3 miesiące</w:t>
      </w:r>
    </w:p>
    <w:p>
      <w:pPr>
        <w:numPr>
          <w:ilvl w:val="0"/>
          <w:numId w:val="1009"/>
        </w:numPr>
        <w:pStyle w:val="Compact"/>
      </w:pPr>
      <w:r>
        <w:t xml:space="preserve">☐ Case study z pilotażu (</w:t>
      </w:r>
      <w:r>
        <w:t xml:space="preserve">“</w:t>
      </w:r>
      <w:r>
        <w:t xml:space="preserve">Firma X zarządza 15 pojazdami w FleetStat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Referencje i opinie na stronę</w:t>
      </w:r>
    </w:p>
    <w:p>
      <w:pPr>
        <w:numPr>
          <w:ilvl w:val="0"/>
          <w:numId w:val="1009"/>
        </w:numPr>
        <w:pStyle w:val="Compact"/>
      </w:pPr>
      <w:r>
        <w:t xml:space="preserve">☐ Obecność na targach transportowych / spotkaniach branżowych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tap-5-rozwój-produktu"/>
      <w:r>
        <w:t xml:space="preserve">ETAP 5 — Rozwój produktu</w:t>
      </w:r>
      <w:bookmarkEnd w:id="42"/>
    </w:p>
    <w:p>
      <w:pPr>
        <w:pStyle w:val="Heading3"/>
      </w:pPr>
      <w:bookmarkStart w:id="43" w:name="raporty-i-eksporty"/>
      <w:r>
        <w:t xml:space="preserve">5.1 Raporty i eksporty</w:t>
      </w:r>
      <w:bookmarkEnd w:id="43"/>
    </w:p>
    <w:p>
      <w:pPr>
        <w:numPr>
          <w:ilvl w:val="0"/>
          <w:numId w:val="1010"/>
        </w:numPr>
        <w:pStyle w:val="Compact"/>
      </w:pPr>
      <w:r>
        <w:t xml:space="preserve">☐ Raport miesięczny per pojazd (PDF)</w:t>
      </w:r>
    </w:p>
    <w:p>
      <w:pPr>
        <w:numPr>
          <w:ilvl w:val="0"/>
          <w:numId w:val="1010"/>
        </w:numPr>
        <w:pStyle w:val="Compact"/>
      </w:pPr>
      <w:r>
        <w:t xml:space="preserve">☐ Raport kosztów z podziałem na kategorie</w:t>
      </w:r>
    </w:p>
    <w:p>
      <w:pPr>
        <w:numPr>
          <w:ilvl w:val="0"/>
          <w:numId w:val="1010"/>
        </w:numPr>
        <w:pStyle w:val="Compact"/>
      </w:pPr>
      <w:r>
        <w:t xml:space="preserve">☐ Raport czasu pracy kierowców</w:t>
      </w:r>
    </w:p>
    <w:p>
      <w:pPr>
        <w:numPr>
          <w:ilvl w:val="0"/>
          <w:numId w:val="1010"/>
        </w:numPr>
        <w:pStyle w:val="Compact"/>
      </w:pPr>
      <w:r>
        <w:t xml:space="preserve">☐ Eksport do Excel wszystkich danych</w:t>
      </w:r>
    </w:p>
    <w:p>
      <w:pPr>
        <w:numPr>
          <w:ilvl w:val="0"/>
          <w:numId w:val="1010"/>
        </w:numPr>
        <w:pStyle w:val="Compact"/>
      </w:pPr>
      <w:r>
        <w:t xml:space="preserve">☐ Automatyczne raporty email (co miesiąc)</w:t>
      </w:r>
    </w:p>
    <w:p>
      <w:pPr>
        <w:pStyle w:val="Heading3"/>
      </w:pPr>
      <w:bookmarkStart w:id="44" w:name="gps-na-żywo-tracking-pojazdów-priorytet"/>
      <w:r>
        <w:t xml:space="preserve">5.2 GPS na żywo — tracking pojazdów (PRIORYTET)</w:t>
      </w:r>
      <w:bookmarkEnd w:id="44"/>
    </w:p>
    <w:p>
      <w:pPr>
        <w:pStyle w:val="FirstParagraph"/>
      </w:pPr>
      <w:r>
        <w:rPr>
          <w:b/>
        </w:rPr>
        <w:t xml:space="preserve">Status: PARTNERSTWO Z FIRMĄ GPS — w trakcie realizacji</w:t>
      </w:r>
    </w:p>
    <w:p>
      <w:pPr>
        <w:pStyle w:val="Heading4"/>
      </w:pPr>
      <w:bookmarkStart w:id="45" w:name="X3243a49f23cd9431b56e1858c7b9f6afc0f9756"/>
      <w:r>
        <w:t xml:space="preserve">Partner: firma WiedziszWszystko (monitoring GPS)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Partner dostarcza hardware (trackery OBD2) + montaż + karty SIM</w:t>
      </w:r>
    </w:p>
    <w:p>
      <w:pPr>
        <w:numPr>
          <w:ilvl w:val="0"/>
          <w:numId w:val="1011"/>
        </w:numPr>
        <w:pStyle w:val="Compact"/>
      </w:pPr>
      <w:r>
        <w:t xml:space="preserve">FleetStat dostarcza software (mapa, alerty, raporty, integracja z resztą systemu)</w:t>
      </w:r>
    </w:p>
    <w:p>
      <w:pPr>
        <w:numPr>
          <w:ilvl w:val="0"/>
          <w:numId w:val="1011"/>
        </w:numPr>
        <w:pStyle w:val="Compact"/>
      </w:pPr>
      <w:r>
        <w:t xml:space="preserve">Wspólna oferta dla klientów: tracking + zarządzanie flotą w jednym pakiecie</w:t>
      </w:r>
    </w:p>
    <w:p>
      <w:pPr>
        <w:pStyle w:val="Heading4"/>
      </w:pPr>
      <w:bookmarkStart w:id="46" w:name="model-współpracy"/>
      <w:r>
        <w:t xml:space="preserve">Model współpracy</w:t>
      </w:r>
      <w:bookmarkEnd w:id="46"/>
    </w:p>
    <w:p>
      <w:pPr>
        <w:numPr>
          <w:ilvl w:val="0"/>
          <w:numId w:val="1012"/>
        </w:numPr>
        <w:pStyle w:val="Compact"/>
      </w:pPr>
      <w:r>
        <w:t xml:space="preserve">Partner zajmuje się: sprzedaż/wynajem urządzeń GPS, montaż u klienta, serwis hardware, SIM</w:t>
      </w:r>
    </w:p>
    <w:p>
      <w:pPr>
        <w:numPr>
          <w:ilvl w:val="0"/>
          <w:numId w:val="1012"/>
        </w:numPr>
        <w:pStyle w:val="Compact"/>
      </w:pPr>
      <w:r>
        <w:t xml:space="preserve">FleetStat zajmuje się: integracja danych GPS w aplikacji, mapa na żywo, raporty, alerty</w:t>
      </w:r>
    </w:p>
    <w:p>
      <w:pPr>
        <w:numPr>
          <w:ilvl w:val="0"/>
          <w:numId w:val="1012"/>
        </w:numPr>
        <w:pStyle w:val="Compact"/>
      </w:pPr>
      <w:r>
        <w:t xml:space="preserve">Podział przychodów lub doliczenie GPS do abonamentu FleetStat</w:t>
      </w:r>
    </w:p>
    <w:p>
      <w:pPr>
        <w:numPr>
          <w:ilvl w:val="0"/>
          <w:numId w:val="1012"/>
        </w:numPr>
        <w:pStyle w:val="Compact"/>
      </w:pPr>
      <w:r>
        <w:t xml:space="preserve">Klient dostaje jedno rozwiązanie zamiast dwóch osobnych systemów</w:t>
      </w:r>
    </w:p>
    <w:p>
      <w:pPr>
        <w:pStyle w:val="Heading4"/>
      </w:pPr>
      <w:bookmarkStart w:id="47" w:name="model-cenowy-gps"/>
      <w:r>
        <w:t xml:space="preserve">Model cenowy GPS</w:t>
      </w:r>
      <w:bookmarkEnd w:id="47"/>
    </w:p>
    <w:p>
      <w:pPr>
        <w:numPr>
          <w:ilvl w:val="0"/>
          <w:numId w:val="1013"/>
        </w:numPr>
        <w:pStyle w:val="Compact"/>
      </w:pPr>
      <w:r>
        <w:t xml:space="preserve">FleetStat (29 PLN) + GPS (~15 PLN) =</w:t>
      </w:r>
      <w:r>
        <w:t xml:space="preserve"> </w:t>
      </w:r>
      <w:r>
        <w:rPr>
          <w:b/>
        </w:rPr>
        <w:t xml:space="preserve">~44 PLN/pojazd/mc</w:t>
      </w:r>
      <w:r>
        <w:t xml:space="preserve"> </w:t>
      </w:r>
      <w:r>
        <w:t xml:space="preserve">— pełen pakiet</w:t>
      </w:r>
    </w:p>
    <w:p>
      <w:pPr>
        <w:numPr>
          <w:ilvl w:val="0"/>
          <w:numId w:val="1013"/>
        </w:numPr>
        <w:pStyle w:val="Compact"/>
      </w:pPr>
      <w:r>
        <w:t xml:space="preserve">Nadal 2–3x taniej od konkurencji (Samsara 115–140 PLN, Flotman niepubl.)</w:t>
      </w:r>
    </w:p>
    <w:p>
      <w:pPr>
        <w:pStyle w:val="Heading4"/>
      </w:pPr>
      <w:bookmarkStart w:id="48" w:name="Xa16861cf89a5f395569ced3dc5a3059faf6d6fa"/>
      <w:r>
        <w:t xml:space="preserve">Funkcje do zbudowania (integracja z danymi od partnera)</w:t>
      </w:r>
      <w:bookmarkEnd w:id="48"/>
    </w:p>
    <w:p>
      <w:pPr>
        <w:numPr>
          <w:ilvl w:val="0"/>
          <w:numId w:val="1014"/>
        </w:numPr>
        <w:pStyle w:val="Compact"/>
      </w:pPr>
      <w:r>
        <w:t xml:space="preserve">☐ Integracja API z systemem GPS partnera</w:t>
      </w:r>
    </w:p>
    <w:p>
      <w:pPr>
        <w:numPr>
          <w:ilvl w:val="0"/>
          <w:numId w:val="1014"/>
        </w:numPr>
        <w:pStyle w:val="Compact"/>
      </w:pPr>
      <w:r>
        <w:t xml:space="preserve">☐ Mapa na żywo z pozycją wszystkich pojazdów (Google Maps / Leaflet)</w:t>
      </w:r>
    </w:p>
    <w:p>
      <w:pPr>
        <w:numPr>
          <w:ilvl w:val="0"/>
          <w:numId w:val="1014"/>
        </w:numPr>
        <w:pStyle w:val="Compact"/>
      </w:pPr>
      <w:r>
        <w:t xml:space="preserve">☐ Historia tras z odtwarzaniem (playback)</w:t>
      </w:r>
    </w:p>
    <w:p>
      <w:pPr>
        <w:numPr>
          <w:ilvl w:val="0"/>
          <w:numId w:val="1014"/>
        </w:numPr>
        <w:pStyle w:val="Compact"/>
      </w:pPr>
      <w:r>
        <w:t xml:space="preserve">☐ Geofencing — alerty: pojazd wyjechał z trasy / wszedł w strefę</w:t>
      </w:r>
    </w:p>
    <w:p>
      <w:pPr>
        <w:numPr>
          <w:ilvl w:val="0"/>
          <w:numId w:val="1014"/>
        </w:numPr>
        <w:pStyle w:val="Compact"/>
      </w:pPr>
      <w:r>
        <w:t xml:space="preserve">☐ Automatyczny odczyt przebiegu z OBD2 (koniec ręcznego wpisywania km)</w:t>
      </w:r>
    </w:p>
    <w:p>
      <w:pPr>
        <w:numPr>
          <w:ilvl w:val="0"/>
          <w:numId w:val="1014"/>
        </w:numPr>
        <w:pStyle w:val="Compact"/>
      </w:pPr>
      <w:r>
        <w:t xml:space="preserve">☐ Zużycie paliwa z OBD2 (raport tankowania, anomalie)</w:t>
      </w:r>
    </w:p>
    <w:p>
      <w:pPr>
        <w:numPr>
          <w:ilvl w:val="0"/>
          <w:numId w:val="1014"/>
        </w:numPr>
        <w:pStyle w:val="Compact"/>
      </w:pPr>
      <w:r>
        <w:t xml:space="preserve">☐ Alerty prędkości i stylu jazdy (ostre hamowanie, przyspieszanie)</w:t>
      </w:r>
    </w:p>
    <w:p>
      <w:pPr>
        <w:numPr>
          <w:ilvl w:val="0"/>
          <w:numId w:val="1014"/>
        </w:numPr>
        <w:pStyle w:val="Compact"/>
      </w:pPr>
      <w:r>
        <w:t xml:space="preserve">☐ Czas jazdy vs postoju — automatyczne uzupełnianie czasu pracy</w:t>
      </w:r>
    </w:p>
    <w:p>
      <w:pPr>
        <w:numPr>
          <w:ilvl w:val="0"/>
          <w:numId w:val="1014"/>
        </w:numPr>
        <w:pStyle w:val="Compact"/>
      </w:pPr>
      <w:r>
        <w:t xml:space="preserve">☐ Kody błędów silnika (DTC) — powiadomienie o awarii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3–5 tygodni (szybciej dzięki partnerstwu — gotowe API)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Koszt zlecenia:</w:t>
      </w:r>
      <w:r>
        <w:t xml:space="preserve"> </w:t>
      </w:r>
      <w:r>
        <w:t xml:space="preserve">15 000–25 000 PLN (niższy — bez budowania backendu GPS od zera)</w:t>
      </w:r>
    </w:p>
    <w:p>
      <w:pPr>
        <w:pStyle w:val="Heading4"/>
      </w:pPr>
      <w:bookmarkStart w:id="49" w:name="przewaga-partnerstwa"/>
      <w:r>
        <w:t xml:space="preserve">Przewaga partnerstwa</w:t>
      </w:r>
      <w:bookmarkEnd w:id="49"/>
    </w:p>
    <w:p>
      <w:pPr>
        <w:numPr>
          <w:ilvl w:val="0"/>
          <w:numId w:val="1015"/>
        </w:numPr>
        <w:pStyle w:val="Compact"/>
      </w:pPr>
      <w:r>
        <w:t xml:space="preserve">Nie budujemy hardware od zera — partner ma doświadczenie i serwis</w:t>
      </w:r>
    </w:p>
    <w:p>
      <w:pPr>
        <w:numPr>
          <w:ilvl w:val="0"/>
          <w:numId w:val="1015"/>
        </w:numPr>
        <w:pStyle w:val="Compact"/>
      </w:pPr>
      <w:r>
        <w:t xml:space="preserve">Szybsze wejście na rynek z GPS</w:t>
      </w:r>
    </w:p>
    <w:p>
      <w:pPr>
        <w:numPr>
          <w:ilvl w:val="0"/>
          <w:numId w:val="1015"/>
        </w:numPr>
        <w:pStyle w:val="Compact"/>
      </w:pPr>
      <w:r>
        <w:t xml:space="preserve">Klient dostaje profesjonalny montaż + gwarancję sprzętu</w:t>
      </w:r>
    </w:p>
    <w:p>
      <w:pPr>
        <w:numPr>
          <w:ilvl w:val="0"/>
          <w:numId w:val="1015"/>
        </w:numPr>
        <w:pStyle w:val="Compact"/>
      </w:pPr>
      <w:r>
        <w:t xml:space="preserve">Możliwość wspólnej sprzedaży — partner poleca FleetStat swoim klientom, my polecamy GPS partnera</w:t>
      </w:r>
    </w:p>
    <w:p>
      <w:pPr>
        <w:numPr>
          <w:ilvl w:val="0"/>
          <w:numId w:val="1015"/>
        </w:numPr>
        <w:pStyle w:val="Compact"/>
      </w:pPr>
      <w:r>
        <w:t xml:space="preserve">Skalowalność — partner obsługuje logistykę hardware, my skupiamy się na software</w:t>
      </w:r>
    </w:p>
    <w:p>
      <w:pPr>
        <w:pStyle w:val="Heading3"/>
      </w:pPr>
      <w:bookmarkStart w:id="50" w:name="integracje"/>
      <w:r>
        <w:t xml:space="preserve">5.3 Integracje</w:t>
      </w:r>
      <w:bookmarkEnd w:id="50"/>
    </w:p>
    <w:p>
      <w:pPr>
        <w:numPr>
          <w:ilvl w:val="0"/>
          <w:numId w:val="1016"/>
        </w:numPr>
        <w:pStyle w:val="Compact"/>
      </w:pPr>
      <w:r>
        <w:t xml:space="preserve">☐ Import danych z tachografu (pliki DDD)</w:t>
      </w:r>
    </w:p>
    <w:p>
      <w:pPr>
        <w:numPr>
          <w:ilvl w:val="0"/>
          <w:numId w:val="1016"/>
        </w:numPr>
        <w:pStyle w:val="Compact"/>
      </w:pPr>
      <w:r>
        <w:t xml:space="preserve">☐ Integracja z programami księgowymi (fakturowanie)</w:t>
      </w:r>
    </w:p>
    <w:p>
      <w:pPr>
        <w:numPr>
          <w:ilvl w:val="0"/>
          <w:numId w:val="1016"/>
        </w:numPr>
        <w:pStyle w:val="Compact"/>
      </w:pPr>
      <w:r>
        <w:t xml:space="preserve">☐ API dla klientów Enterprise</w:t>
      </w:r>
    </w:p>
    <w:p>
      <w:pPr>
        <w:numPr>
          <w:ilvl w:val="0"/>
          <w:numId w:val="1016"/>
        </w:numPr>
        <w:pStyle w:val="Compact"/>
      </w:pPr>
      <w:r>
        <w:t xml:space="preserve">☐ Integracja z Trans.eu (import zleceń z giełdy do FleetStat)</w:t>
      </w:r>
    </w:p>
    <w:p>
      <w:pPr>
        <w:pStyle w:val="Heading3"/>
      </w:pPr>
      <w:bookmarkStart w:id="51" w:name="dodatkowe-funkcje"/>
      <w:r>
        <w:t xml:space="preserve">5.4 Dodatkowe funkcje</w:t>
      </w:r>
      <w:bookmarkEnd w:id="51"/>
    </w:p>
    <w:p>
      <w:pPr>
        <w:numPr>
          <w:ilvl w:val="0"/>
          <w:numId w:val="1017"/>
        </w:numPr>
        <w:pStyle w:val="Compact"/>
      </w:pPr>
      <w:r>
        <w:t xml:space="preserve">☐ Powiadomienia push (przegląd za 7 dni, faktura po terminie)</w:t>
      </w:r>
    </w:p>
    <w:p>
      <w:pPr>
        <w:numPr>
          <w:ilvl w:val="0"/>
          <w:numId w:val="1017"/>
        </w:numPr>
        <w:pStyle w:val="Compact"/>
      </w:pPr>
      <w:r>
        <w:t xml:space="preserve">☐ Planowanie tras (z uwzględnieniem czasu pracy kierowcy)</w:t>
      </w:r>
    </w:p>
    <w:p>
      <w:pPr>
        <w:numPr>
          <w:ilvl w:val="0"/>
          <w:numId w:val="1017"/>
        </w:numPr>
        <w:pStyle w:val="Compact"/>
      </w:pPr>
      <w:r>
        <w:t xml:space="preserve">☐ Moduł paliwa (tankowania, karty paliwowe, porównanie z OBD2)</w:t>
      </w:r>
    </w:p>
    <w:p>
      <w:pPr>
        <w:numPr>
          <w:ilvl w:val="0"/>
          <w:numId w:val="1017"/>
        </w:numPr>
        <w:pStyle w:val="Compact"/>
      </w:pPr>
      <w:r>
        <w:t xml:space="preserve">☐ Czat / komunikator wewnątrzfirmowy</w:t>
      </w:r>
    </w:p>
    <w:p>
      <w:pPr>
        <w:numPr>
          <w:ilvl w:val="0"/>
          <w:numId w:val="1017"/>
        </w:numPr>
        <w:pStyle w:val="Compact"/>
      </w:pPr>
      <w:r>
        <w:t xml:space="preserve">☐ Dashcam integracja (opcja przyszłościowa)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model-cenowy"/>
      <w:r>
        <w:t xml:space="preserve">Model cenowy</w:t>
      </w:r>
      <w:bookmarkEnd w:id="52"/>
    </w:p>
    <w:p>
      <w:pPr>
        <w:pStyle w:val="FirstParagraph"/>
      </w:pPr>
      <w:r>
        <w:rPr>
          <w:b/>
        </w:rPr>
        <w:t xml:space="preserve">29 PLN / pojazd / miesiąc</w:t>
      </w:r>
      <w:r>
        <w:t xml:space="preserve"> </w:t>
      </w:r>
      <w:r>
        <w:t xml:space="preserve">(min. 5 pojazdów = 145 PLN/mc)</w:t>
      </w:r>
    </w:p>
    <w:p>
      <w:pPr>
        <w:pStyle w:val="Heading3"/>
      </w:pPr>
      <w:bookmarkStart w:id="53" w:name="X8ebd52488d55b62d06db5bc885d9f560256e61e"/>
      <w:r>
        <w:t xml:space="preserve">Prognoza przychodów (średnia 35 PLN/pojazd po podwyżkach)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Scenariusz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Śr. pojazdów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Pojazdy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Roczny przychód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(6 mc)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5 250 PLN</w:t>
            </w:r>
          </w:p>
        </w:tc>
        <w:tc>
          <w:p>
            <w:pPr>
              <w:pStyle w:val="Compact"/>
              <w:jc w:val="left"/>
            </w:pPr>
            <w:r>
              <w:t xml:space="preserve">63 000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26 250 PLN</w:t>
            </w:r>
          </w:p>
        </w:tc>
        <w:tc>
          <w:p>
            <w:pPr>
              <w:pStyle w:val="Compact"/>
              <w:jc w:val="left"/>
            </w:pPr>
            <w:r>
              <w:t xml:space="preserve">315 000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2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1 500</w:t>
            </w:r>
          </w:p>
        </w:tc>
        <w:tc>
          <w:p>
            <w:pPr>
              <w:pStyle w:val="Compact"/>
              <w:jc w:val="left"/>
            </w:pPr>
            <w:r>
              <w:t xml:space="preserve">52 500 PLN</w:t>
            </w:r>
          </w:p>
        </w:tc>
        <w:tc>
          <w:p>
            <w:pPr>
              <w:pStyle w:val="Compact"/>
              <w:jc w:val="left"/>
            </w:pPr>
            <w:r>
              <w:t xml:space="preserve">630 000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3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3 000</w:t>
            </w:r>
          </w:p>
        </w:tc>
        <w:tc>
          <w:p>
            <w:pPr>
              <w:pStyle w:val="Compact"/>
              <w:jc w:val="left"/>
            </w:pPr>
            <w:r>
              <w:t xml:space="preserve">105 000 PLN</w:t>
            </w:r>
          </w:p>
        </w:tc>
        <w:tc>
          <w:p>
            <w:pPr>
              <w:pStyle w:val="Compact"/>
              <w:jc w:val="left"/>
            </w:pPr>
            <w:r>
              <w:t xml:space="preserve">1 260 000 PLN</w:t>
            </w:r>
          </w:p>
        </w:tc>
      </w:tr>
    </w:tbl>
    <w:p>
      <w:pPr>
        <w:pStyle w:val="Heading3"/>
      </w:pPr>
      <w:bookmarkStart w:id="54" w:name="Xfc08a617f939e082560422d52415ccb1e263688"/>
      <w:r>
        <w:t xml:space="preserve">Wartość produktu (mnożnik 3–5x rocznego przychodu)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Przychód roczny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Wartość biznesowa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Przed komercjalizacją</w:t>
            </w:r>
          </w:p>
        </w:tc>
        <w:tc>
          <w:p>
            <w:pPr>
              <w:pStyle w:val="Compact"/>
              <w:jc w:val="left"/>
            </w:pPr>
            <w:r>
              <w:t xml:space="preserve">0 PLN</w:t>
            </w:r>
          </w:p>
        </w:tc>
        <w:tc>
          <w:p>
            <w:pPr>
              <w:pStyle w:val="Compact"/>
              <w:jc w:val="left"/>
            </w:pPr>
            <w:r>
              <w:t xml:space="preserve">70–100 tys. PLN (koszt wytworzenia)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 wdrożeniu (bez klientów)</w:t>
            </w:r>
          </w:p>
        </w:tc>
        <w:tc>
          <w:p>
            <w:pPr>
              <w:pStyle w:val="Compact"/>
              <w:jc w:val="left"/>
            </w:pPr>
            <w:r>
              <w:t xml:space="preserve">0 PLN</w:t>
            </w:r>
          </w:p>
        </w:tc>
        <w:tc>
          <w:p>
            <w:pPr>
              <w:pStyle w:val="Compact"/>
              <w:jc w:val="left"/>
            </w:pPr>
            <w:r>
              <w:t xml:space="preserve">150–220 tys. PLN (koszt wytworzenia)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firm</w:t>
            </w:r>
          </w:p>
        </w:tc>
        <w:tc>
          <w:p>
            <w:pPr>
              <w:pStyle w:val="Compact"/>
              <w:jc w:val="left"/>
            </w:pPr>
            <w:r>
              <w:t xml:space="preserve">315 000 PLN</w:t>
            </w:r>
          </w:p>
        </w:tc>
        <w:tc>
          <w:p>
            <w:pPr>
              <w:pStyle w:val="Compact"/>
              <w:jc w:val="left"/>
            </w:pPr>
            <w:r>
              <w:t xml:space="preserve">~1 000 000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 firm</w:t>
            </w:r>
          </w:p>
        </w:tc>
        <w:tc>
          <w:p>
            <w:pPr>
              <w:pStyle w:val="Compact"/>
              <w:jc w:val="left"/>
            </w:pPr>
            <w:r>
              <w:t xml:space="preserve">630 000 PLN</w:t>
            </w:r>
          </w:p>
        </w:tc>
        <w:tc>
          <w:p>
            <w:pPr>
              <w:pStyle w:val="Compact"/>
              <w:jc w:val="left"/>
            </w:pPr>
            <w:r>
              <w:t xml:space="preserve">~2 500 000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 firm</w:t>
            </w:r>
          </w:p>
        </w:tc>
        <w:tc>
          <w:p>
            <w:pPr>
              <w:pStyle w:val="Compact"/>
              <w:jc w:val="left"/>
            </w:pPr>
            <w:r>
              <w:t xml:space="preserve">1 260 000 PLN</w:t>
            </w:r>
          </w:p>
        </w:tc>
        <w:tc>
          <w:p>
            <w:pPr>
              <w:pStyle w:val="Compact"/>
              <w:jc w:val="left"/>
            </w:pPr>
            <w:r>
              <w:t xml:space="preserve">~5 000 000 PLN</w:t>
            </w:r>
          </w:p>
        </w:tc>
      </w:tr>
    </w:tbl>
    <w:p>
      <w:pPr>
        <w:pStyle w:val="Heading3"/>
      </w:pPr>
      <w:bookmarkStart w:id="55" w:name="analiza-konkurencji-stan-kwiecień-2026"/>
      <w:r>
        <w:t xml:space="preserve">Analiza konkurencji (stan: kwiecień 2026)</w:t>
      </w:r>
      <w:bookmarkEnd w:id="55"/>
    </w:p>
    <w:p>
      <w:pPr>
        <w:pStyle w:val="Heading4"/>
      </w:pPr>
      <w:bookmarkStart w:id="56" w:name="polska"/>
      <w:r>
        <w:t xml:space="preserve">Polska</w:t>
      </w:r>
      <w:bookmarkEnd w:id="56"/>
    </w:p>
    <w:tbl>
      <w:tblPr>
        <w:tblStyle w:val="Table"/>
        <w:tblW w:type="pct" w:w="5000.0"/>
        <w:tblLook w:firstRow="1"/>
      </w:tblPr>
      <w:tblGrid>
        <w:gridCol w:w="1092"/>
        <w:gridCol w:w="2048"/>
        <w:gridCol w:w="1365"/>
        <w:gridCol w:w="1228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Cena/pojazd/mc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Główne funkcje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FleetStat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 PLN</w:t>
            </w:r>
          </w:p>
        </w:tc>
        <w:tc>
          <w:p>
            <w:pPr>
              <w:pStyle w:val="Compact"/>
              <w:jc w:val="left"/>
            </w:pPr>
            <w:r>
              <w:t xml:space="preserve">Nie</w:t>
            </w:r>
          </w:p>
        </w:tc>
        <w:tc>
          <w:p>
            <w:pPr>
              <w:pStyle w:val="Compact"/>
              <w:jc w:val="left"/>
            </w:pPr>
            <w:r>
              <w:t xml:space="preserve">Małe firmy (5–50 aut)</w:t>
            </w:r>
          </w:p>
        </w:tc>
        <w:tc>
          <w:p>
            <w:pPr>
              <w:pStyle w:val="Compact"/>
              <w:jc w:val="left"/>
            </w:pPr>
            <w:r>
              <w:t xml:space="preserve">Koszty, faktury, czas pracy EU, dokumenty, rentowność, PWA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Flotman</w:t>
            </w:r>
          </w:p>
        </w:tc>
        <w:tc>
          <w:p>
            <w:pPr>
              <w:pStyle w:val="Compact"/>
              <w:jc w:val="left"/>
            </w:pPr>
            <w:r>
              <w:t xml:space="preserve">niepubl.</w:t>
            </w:r>
          </w:p>
        </w:tc>
        <w:tc>
          <w:p>
            <w:pPr>
              <w:pStyle w:val="Compact"/>
              <w:jc w:val="left"/>
            </w:pPr>
            <w:r>
              <w:t xml:space="preserve">Tak (GPS)</w:t>
            </w:r>
          </w:p>
        </w:tc>
        <w:tc>
          <w:p>
            <w:pPr>
              <w:pStyle w:val="Compact"/>
              <w:jc w:val="left"/>
            </w:pPr>
            <w:r>
              <w:t xml:space="preserve">Małe–duże</w:t>
            </w:r>
          </w:p>
        </w:tc>
        <w:tc>
          <w:p>
            <w:pPr>
              <w:pStyle w:val="Compact"/>
              <w:jc w:val="left"/>
            </w:pPr>
            <w:r>
              <w:t xml:space="preserve">GPS na żywo, paliwo, tachograf, alerty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 Flota Manager</w:t>
            </w:r>
          </w:p>
        </w:tc>
        <w:tc>
          <w:p>
            <w:pPr>
              <w:pStyle w:val="Compact"/>
              <w:jc w:val="left"/>
            </w:pPr>
            <w:r>
              <w:t xml:space="preserve">niepubl.</w:t>
            </w:r>
          </w:p>
        </w:tc>
        <w:tc>
          <w:p>
            <w:pPr>
              <w:pStyle w:val="Compact"/>
              <w:jc w:val="left"/>
            </w:pPr>
            <w:r>
              <w:t xml:space="preserve">Tak (GPS)</w:t>
            </w:r>
          </w:p>
        </w:tc>
        <w:tc>
          <w:p>
            <w:pPr>
              <w:pStyle w:val="Compact"/>
              <w:jc w:val="left"/>
            </w:pPr>
            <w:r>
              <w:t xml:space="preserve">Małe–duże</w:t>
            </w:r>
          </w:p>
        </w:tc>
        <w:tc>
          <w:p>
            <w:pPr>
              <w:pStyle w:val="Compact"/>
              <w:jc w:val="left"/>
            </w:pPr>
            <w:r>
              <w:t xml:space="preserve">Monitoring GPS, kontrola floty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LINQO</w:t>
            </w:r>
          </w:p>
        </w:tc>
        <w:tc>
          <w:p>
            <w:pPr>
              <w:pStyle w:val="Compact"/>
              <w:jc w:val="left"/>
            </w:pPr>
            <w:r>
              <w:t xml:space="preserve">niepubl.</w:t>
            </w:r>
          </w:p>
        </w:tc>
        <w:tc>
          <w:p>
            <w:pPr>
              <w:pStyle w:val="Compact"/>
              <w:jc w:val="left"/>
            </w:pPr>
            <w:r>
              <w:t xml:space="preserve">Zależy</w:t>
            </w:r>
          </w:p>
        </w:tc>
        <w:tc>
          <w:p>
            <w:pPr>
              <w:pStyle w:val="Compact"/>
              <w:jc w:val="left"/>
            </w:pPr>
            <w:r>
              <w:t xml:space="preserve">Wszystkie</w:t>
            </w:r>
          </w:p>
        </w:tc>
        <w:tc>
          <w:p>
            <w:pPr>
              <w:pStyle w:val="Compact"/>
              <w:jc w:val="left"/>
            </w:pPr>
            <w:r>
              <w:t xml:space="preserve">Modułowy, integracja Trans.eu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Trans.eu</w:t>
            </w:r>
          </w:p>
        </w:tc>
        <w:tc>
          <w:p>
            <w:pPr>
              <w:pStyle w:val="Compact"/>
              <w:jc w:val="left"/>
            </w:pPr>
            <w:r>
              <w:t xml:space="preserve">465–1000+ PLN/mc (za stanowisko)</w:t>
            </w:r>
          </w:p>
        </w:tc>
        <w:tc>
          <w:p>
            <w:pPr>
              <w:pStyle w:val="Compact"/>
              <w:jc w:val="left"/>
            </w:pPr>
            <w:r>
              <w:t xml:space="preserve">Nie</w:t>
            </w:r>
          </w:p>
        </w:tc>
        <w:tc>
          <w:p>
            <w:pPr>
              <w:pStyle w:val="Compact"/>
              <w:jc w:val="left"/>
            </w:pPr>
            <w:r>
              <w:t xml:space="preserve">Giełda frachtów</w:t>
            </w:r>
          </w:p>
        </w:tc>
        <w:tc>
          <w:p>
            <w:pPr>
              <w:pStyle w:val="Compact"/>
              <w:jc w:val="left"/>
            </w:pPr>
            <w:r>
              <w:t xml:space="preserve">Giełda ładunków, komunikator, TransRisk — NIE zarządzanie flotą</w:t>
            </w:r>
          </w:p>
        </w:tc>
      </w:tr>
    </w:tbl>
    <w:p>
      <w:pPr>
        <w:pStyle w:val="Heading4"/>
      </w:pPr>
      <w:bookmarkStart w:id="57" w:name="świat-dostępne-globalnie"/>
      <w:r>
        <w:t xml:space="preserve">Świat (dostępne globalnie)</w:t>
      </w:r>
      <w:bookmarkEnd w:id="57"/>
    </w:p>
    <w:tbl>
      <w:tblPr>
        <w:tblStyle w:val="Table"/>
        <w:tblW w:type="pct" w:w="5000.0"/>
        <w:tblLook w:firstRow="1"/>
      </w:tblPr>
      <w:tblGrid>
        <w:gridCol w:w="1092"/>
        <w:gridCol w:w="2048"/>
        <w:gridCol w:w="1365"/>
        <w:gridCol w:w="1228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Cena/pojazd/mc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Główne funkcje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Fleetio (USA)</w:t>
            </w:r>
          </w:p>
        </w:tc>
        <w:tc>
          <w:p>
            <w:pPr>
              <w:pStyle w:val="Compact"/>
              <w:jc w:val="left"/>
            </w:pPr>
            <w:r>
              <w:t xml:space="preserve">$4–10 (17–43 PLN)</w:t>
            </w:r>
          </w:p>
        </w:tc>
        <w:tc>
          <w:p>
            <w:pPr>
              <w:pStyle w:val="Compact"/>
              <w:jc w:val="left"/>
            </w:pPr>
            <w:r>
              <w:t xml:space="preserve">Nie</w:t>
            </w:r>
          </w:p>
        </w:tc>
        <w:tc>
          <w:p>
            <w:pPr>
              <w:pStyle w:val="Compact"/>
              <w:jc w:val="left"/>
            </w:pPr>
            <w:r>
              <w:t xml:space="preserve">Małe–średnie</w:t>
            </w:r>
          </w:p>
        </w:tc>
        <w:tc>
          <w:p>
            <w:pPr>
              <w:pStyle w:val="Compact"/>
              <w:jc w:val="left"/>
            </w:pPr>
            <w:r>
              <w:t xml:space="preserve">Maintenance, paliwo, inspekcje, przypomnienia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Simply Fleet</w:t>
            </w:r>
          </w:p>
        </w:tc>
        <w:tc>
          <w:p>
            <w:pPr>
              <w:pStyle w:val="Compact"/>
              <w:jc w:val="left"/>
            </w:pPr>
            <w:r>
              <w:t xml:space="preserve">od $5</w:t>
            </w:r>
          </w:p>
        </w:tc>
        <w:tc>
          <w:p>
            <w:pPr>
              <w:pStyle w:val="Compact"/>
              <w:jc w:val="left"/>
            </w:pPr>
            <w:r>
              <w:t xml:space="preserve">Nie</w:t>
            </w:r>
          </w:p>
        </w:tc>
        <w:tc>
          <w:p>
            <w:pPr>
              <w:pStyle w:val="Compact"/>
              <w:jc w:val="left"/>
            </w:pPr>
            <w:r>
              <w:t xml:space="preserve">Małe</w:t>
            </w:r>
          </w:p>
        </w:tc>
        <w:tc>
          <w:p>
            <w:pPr>
              <w:pStyle w:val="Compact"/>
              <w:jc w:val="left"/>
            </w:pPr>
            <w:r>
              <w:t xml:space="preserve">Maintenance, paliwo — bardzo prosty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Samsara</w:t>
            </w:r>
          </w:p>
        </w:tc>
        <w:tc>
          <w:p>
            <w:pPr>
              <w:pStyle w:val="Compact"/>
              <w:jc w:val="left"/>
            </w:pPr>
            <w:r>
              <w:t xml:space="preserve">$27–33 (115–140 PLN)</w:t>
            </w:r>
          </w:p>
        </w:tc>
        <w:tc>
          <w:p>
            <w:pPr>
              <w:pStyle w:val="Compact"/>
              <w:jc w:val="left"/>
            </w:pPr>
            <w:r>
              <w:t xml:space="preserve">Tak ($99–148)</w:t>
            </w:r>
          </w:p>
        </w:tc>
        <w:tc>
          <w:p>
            <w:pPr>
              <w:pStyle w:val="Compact"/>
              <w:jc w:val="left"/>
            </w:pPr>
            <w:r>
              <w:t xml:space="preserve">Średnie–duże</w:t>
            </w:r>
          </w:p>
        </w:tc>
        <w:tc>
          <w:p>
            <w:pPr>
              <w:pStyle w:val="Compact"/>
              <w:jc w:val="left"/>
            </w:pPr>
            <w:r>
              <w:t xml:space="preserve">GPS, kamery, compliance, kontrakt 3-letni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Webfleet (TomTom)</w:t>
            </w:r>
          </w:p>
        </w:tc>
        <w:tc>
          <w:p>
            <w:pPr>
              <w:pStyle w:val="Compact"/>
              <w:jc w:val="left"/>
            </w:pPr>
            <w:r>
              <w:t xml:space="preserve">niepubl.</w:t>
            </w:r>
          </w:p>
        </w:tc>
        <w:tc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p>
            <w:pPr>
              <w:pStyle w:val="Compact"/>
              <w:jc w:val="left"/>
            </w:pPr>
            <w:r>
              <w:t xml:space="preserve">Średnie–duże</w:t>
            </w:r>
          </w:p>
        </w:tc>
        <w:tc>
          <w:p>
            <w:pPr>
              <w:pStyle w:val="Compact"/>
              <w:jc w:val="left"/>
            </w:pPr>
            <w:r>
              <w:t xml:space="preserve">Routing, tachograf, OEM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Azuga</w:t>
            </w:r>
          </w:p>
        </w:tc>
        <w:tc>
          <w:p>
            <w:pPr>
              <w:pStyle w:val="Compact"/>
              <w:jc w:val="left"/>
            </w:pPr>
            <w:r>
              <w:t xml:space="preserve">niepubl.</w:t>
            </w:r>
          </w:p>
        </w:tc>
        <w:tc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p>
            <w:pPr>
              <w:pStyle w:val="Compact"/>
              <w:jc w:val="left"/>
            </w:pPr>
            <w:r>
              <w:t xml:space="preserve">Małe–średnie</w:t>
            </w:r>
          </w:p>
        </w:tc>
        <w:tc>
          <w:p>
            <w:pPr>
              <w:pStyle w:val="Compact"/>
              <w:jc w:val="left"/>
            </w:pPr>
            <w:r>
              <w:t xml:space="preserve">GPS, compliance, godziny (tylko USA)</w:t>
            </w:r>
          </w:p>
        </w:tc>
      </w:tr>
    </w:tbl>
    <w:p>
      <w:pPr>
        <w:pStyle w:val="Heading4"/>
      </w:pPr>
      <w:bookmarkStart w:id="58" w:name="szczegółowe-porównanie-funkcji"/>
      <w:r>
        <w:t xml:space="preserve">Szczegółowe porównanie funkcji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Funkcja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FleetStat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Fleetio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Flotman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Samsara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Trans.eu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Zarządzanie pojazdami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Koszty operacyjne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Częściowo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Faktury / frachty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Czas pracy EU (9/11/24/45h)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Częściowo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Dokumenty z alertami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Częściowo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Rentowność per pojazd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na żywo</w:t>
            </w:r>
          </w:p>
        </w:tc>
        <w:tc>
          <w:p>
            <w:pPr>
              <w:pStyle w:val="Compact"/>
              <w:jc w:val="left"/>
            </w:pPr>
            <w:r>
              <w:t xml:space="preserve">✅ (w planie — OBD2 tracker)</w:t>
            </w:r>
          </w:p>
        </w:tc>
        <w:tc>
          <w:p>
            <w:pPr>
              <w:pStyle w:val="Compact"/>
              <w:jc w:val="left"/>
            </w:pPr>
            <w:r>
              <w:t xml:space="preserve">Opcja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Tachograf</w:t>
            </w:r>
          </w:p>
        </w:tc>
        <w:tc>
          <w:p>
            <w:pPr>
              <w:pStyle w:val="Compact"/>
              <w:jc w:val="left"/>
            </w:pPr>
            <w:r>
              <w:t xml:space="preserve">Podstawowy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Język polski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 mobilna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t xml:space="preserve">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Bez kontraktu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Roczny</w:t>
            </w:r>
          </w:p>
        </w:tc>
        <w:tc>
          <w:p>
            <w:pPr>
              <w:pStyle w:val="Compact"/>
              <w:jc w:val="left"/>
            </w:pPr>
            <w:r>
              <w:t xml:space="preserve">Roczny</w:t>
            </w:r>
          </w:p>
        </w:tc>
        <w:tc>
          <w:p>
            <w:pPr>
              <w:pStyle w:val="Compact"/>
              <w:jc w:val="left"/>
            </w:pPr>
            <w:r>
              <w:t xml:space="preserve">3-letni</w:t>
            </w:r>
          </w:p>
        </w:tc>
        <w:tc>
          <w:p>
            <w:pPr>
              <w:pStyle w:val="Compact"/>
              <w:jc w:val="left"/>
            </w:pPr>
            <w:r>
              <w:t xml:space="preserve">Roczny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Bez hardware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4"/>
      </w:pPr>
      <w:bookmarkStart w:id="59" w:name="przewaga-fleetstat"/>
      <w:r>
        <w:t xml:space="preserve">Przewaga FleetStat</w:t>
      </w:r>
      <w:bookmarkEnd w:id="5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Jedyny system na rynku PL łączący:</w:t>
      </w:r>
      <w:r>
        <w:t xml:space="preserve"> </w:t>
      </w:r>
      <w:r>
        <w:t xml:space="preserve">koszty + faktury + czas pracy EU + dokumenty + rentowność w jednym narzędziu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Najtańszy</w:t>
      </w:r>
      <w:r>
        <w:t xml:space="preserve"> </w:t>
      </w:r>
      <w:r>
        <w:t xml:space="preserve">wśród kompletnych rozwiązań (29 PLN vs 50–200 PLN u konkurencji)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Bez hardware</w:t>
      </w:r>
      <w:r>
        <w:t xml:space="preserve"> </w:t>
      </w:r>
      <w:r>
        <w:t xml:space="preserve">— zero inwestycji na start, wystarczy przeglądarka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Bez kontraktu</w:t>
      </w:r>
      <w:r>
        <w:t xml:space="preserve"> </w:t>
      </w:r>
      <w:r>
        <w:t xml:space="preserve">— miesiąc do miesiąca, zero ryzyka dla klienta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Celowany w niszę:</w:t>
      </w:r>
      <w:r>
        <w:t xml:space="preserve"> </w:t>
      </w:r>
      <w:r>
        <w:t xml:space="preserve">małe firmy transportowe (5–50 aut) które nie potrzebują kombajnów jak Samsara/Webfleet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Luka rynkowa:</w:t>
      </w:r>
      <w:r>
        <w:t xml:space="preserve"> </w:t>
      </w:r>
      <w:r>
        <w:t xml:space="preserve">Fleetio (najbliższy konkurent) nie ma fakturowania, czasu pracy EU ani polskiego; Flotman wymaga GPS hardware; Trans.eu to giełda, nie zarządzanie flotą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podsumowanie-kosztów-komercjalizacji"/>
      <w:r>
        <w:t xml:space="preserve">Podsumowanie kosztów komercjalizacji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Koszt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Czas (samodzielnie)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Multi-tenancy + onboarding</w:t>
            </w:r>
          </w:p>
        </w:tc>
        <w:tc>
          <w:p>
            <w:pPr>
              <w:pStyle w:val="Compact"/>
              <w:jc w:val="left"/>
            </w:pPr>
            <w:r>
              <w:t xml:space="preserve">20 000–28 000 PLN</w:t>
            </w:r>
          </w:p>
        </w:tc>
        <w:tc>
          <w:p>
            <w:pPr>
              <w:pStyle w:val="Compact"/>
              <w:jc w:val="left"/>
            </w:pPr>
            <w:r>
              <w:t xml:space="preserve">3–5 tygodni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Płatności + panel admina</w:t>
            </w:r>
          </w:p>
        </w:tc>
        <w:tc>
          <w:p>
            <w:pPr>
              <w:pStyle w:val="Compact"/>
              <w:jc w:val="left"/>
            </w:pPr>
            <w:r>
              <w:t xml:space="preserve">12 000–18 000 PLN</w:t>
            </w:r>
          </w:p>
        </w:tc>
        <w:tc>
          <w:p>
            <w:pPr>
              <w:pStyle w:val="Compact"/>
              <w:jc w:val="left"/>
            </w:pPr>
            <w:r>
              <w:t xml:space="preserve">3 tygodnie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Prawo + bezpieczeństwo + Cloud Functions</w:t>
            </w:r>
          </w:p>
        </w:tc>
        <w:tc>
          <w:p>
            <w:pPr>
              <w:pStyle w:val="Compact"/>
              <w:jc w:val="left"/>
            </w:pPr>
            <w:r>
              <w:t xml:space="preserve">8 000–14 000 PLN</w:t>
            </w:r>
          </w:p>
        </w:tc>
        <w:tc>
          <w:p>
            <w:pPr>
              <w:pStyle w:val="Compact"/>
              <w:jc w:val="left"/>
            </w:pPr>
            <w:r>
              <w:t xml:space="preserve">2–3 tygodnie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Landing page + marketing start</w:t>
            </w:r>
          </w:p>
        </w:tc>
        <w:tc>
          <w:p>
            <w:pPr>
              <w:pStyle w:val="Compact"/>
              <w:jc w:val="left"/>
            </w:pPr>
            <w:r>
              <w:t xml:space="preserve">3 000–5 000 PLN</w:t>
            </w:r>
          </w:p>
        </w:tc>
        <w:tc>
          <w:p>
            <w:pPr>
              <w:pStyle w:val="Compact"/>
              <w:jc w:val="left"/>
            </w:pPr>
            <w:r>
              <w:t xml:space="preserve">1 tydzień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tracking (integracja z partnerem + mapa)</w:t>
            </w:r>
          </w:p>
        </w:tc>
        <w:tc>
          <w:p>
            <w:pPr>
              <w:pStyle w:val="Compact"/>
              <w:jc w:val="left"/>
            </w:pPr>
            <w:r>
              <w:t xml:space="preserve">15 000–25 000 PLN</w:t>
            </w:r>
          </w:p>
        </w:tc>
        <w:tc>
          <w:p>
            <w:pPr>
              <w:pStyle w:val="Compact"/>
              <w:jc w:val="left"/>
            </w:pPr>
            <w:r>
              <w:t xml:space="preserve">3–5 tygodni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ŁĄCZNIE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58 000–92 000 PLN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12–17 tygodni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c5073aeea5575869edc58437d8b71feeaf957f5"/>
      <w:r>
        <w:t xml:space="preserve">ETAP 6 — Ekspansja europejska (po ustabilizowaniu rynku PL)</w:t>
      </w:r>
      <w:bookmarkEnd w:id="61"/>
    </w:p>
    <w:p>
      <w:pPr>
        <w:pStyle w:val="FirstParagraph"/>
      </w:pPr>
      <w:r>
        <w:rPr>
          <w:b/>
        </w:rPr>
        <w:t xml:space="preserve">Warunek wejścia:</w:t>
      </w:r>
      <w:r>
        <w:t xml:space="preserve"> </w:t>
      </w:r>
      <w:r>
        <w:t xml:space="preserve">stabilna baza 30–50 firm w Polsce, przetestowany produkt, powtarzalny model sprzedaży.</w:t>
      </w:r>
    </w:p>
    <w:p>
      <w:pPr>
        <w:pStyle w:val="Heading3"/>
      </w:pPr>
      <w:bookmarkStart w:id="62" w:name="faza-1-europa-środkowo-wschodnia-cee"/>
      <w:r>
        <w:t xml:space="preserve">6.1 Faza 1 — Europa Środkowo-Wschodnia (CEE)</w:t>
      </w:r>
      <w:bookmarkEnd w:id="62"/>
    </w:p>
    <w:p>
      <w:pPr>
        <w:pStyle w:val="FirstParagraph"/>
      </w:pPr>
      <w:r>
        <w:t xml:space="preserve">Rynki: Rumunia (~30 000 firm), Bułgaria (~15 000), Czechy, Słowacja, Litwa, Łotwa.</w:t>
      </w:r>
      <w:r>
        <w:t xml:space="preserve"> </w:t>
      </w:r>
      <w:r>
        <w:t xml:space="preserve">Duży transport, słaba lokalna konkurencja SaaS, niska bariera wejścia.</w:t>
      </w:r>
    </w:p>
    <w:p>
      <w:pPr>
        <w:numPr>
          <w:ilvl w:val="0"/>
          <w:numId w:val="1019"/>
        </w:numPr>
        <w:pStyle w:val="Compact"/>
      </w:pPr>
      <w:r>
        <w:t xml:space="preserve">☐ Wielojęzyczność (i18n) — wyciągnięcie tekstów z App.jsx do plików JSON</w:t>
      </w:r>
    </w:p>
    <w:p>
      <w:pPr>
        <w:numPr>
          <w:ilvl w:val="0"/>
          <w:numId w:val="1019"/>
        </w:numPr>
        <w:pStyle w:val="Compact"/>
      </w:pPr>
      <w:r>
        <w:t xml:space="preserve">☐ Tłumaczenie: angielski (bazowy), potem rumuński, czeski</w:t>
      </w:r>
    </w:p>
    <w:p>
      <w:pPr>
        <w:numPr>
          <w:ilvl w:val="0"/>
          <w:numId w:val="1019"/>
        </w:numPr>
        <w:pStyle w:val="Compact"/>
      </w:pPr>
      <w:r>
        <w:t xml:space="preserve">☐ Landing page po angielsku</w:t>
      </w:r>
    </w:p>
    <w:p>
      <w:pPr>
        <w:numPr>
          <w:ilvl w:val="0"/>
          <w:numId w:val="1019"/>
        </w:numPr>
        <w:pStyle w:val="Compact"/>
      </w:pPr>
      <w:r>
        <w:t xml:space="preserve">☐ Płatności w EUR (Stripe obsługuje całą UE)</w:t>
      </w:r>
    </w:p>
    <w:p>
      <w:pPr>
        <w:numPr>
          <w:ilvl w:val="0"/>
          <w:numId w:val="1019"/>
        </w:numPr>
        <w:pStyle w:val="Compact"/>
      </w:pPr>
      <w:r>
        <w:t xml:space="preserve">☐ Wielowalutowość kosztów/frachów (EUR, RON, CZK)</w:t>
      </w:r>
    </w:p>
    <w:p>
      <w:pPr>
        <w:numPr>
          <w:ilvl w:val="0"/>
          <w:numId w:val="1019"/>
        </w:numPr>
        <w:pStyle w:val="Compact"/>
      </w:pPr>
      <w:r>
        <w:t xml:space="preserve">☐ GDPR compliance (angielska wersja RODO)</w:t>
      </w:r>
    </w:p>
    <w:p>
      <w:pPr>
        <w:numPr>
          <w:ilvl w:val="0"/>
          <w:numId w:val="1019"/>
        </w:numPr>
        <w:pStyle w:val="Compact"/>
      </w:pPr>
      <w:r>
        <w:t xml:space="preserve">☐ Marketing: grupy Facebook/LinkedIn dla transportu w CEE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Cena:</w:t>
      </w:r>
      <w:r>
        <w:t xml:space="preserve"> </w:t>
      </w:r>
      <w:r>
        <w:t xml:space="preserve">7 EUR/pojazd/mc (~29 PLN)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Szacowany koszt:</w:t>
      </w:r>
      <w:r>
        <w:t xml:space="preserve"> </w:t>
      </w:r>
      <w:r>
        <w:t xml:space="preserve">17 000–27 000 PLN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Szacowany czas:</w:t>
      </w:r>
      <w:r>
        <w:t xml:space="preserve"> </w:t>
      </w:r>
      <w:r>
        <w:t xml:space="preserve">3–4 tygodnie</w:t>
      </w:r>
    </w:p>
    <w:p>
      <w:pPr>
        <w:pStyle w:val="Heading3"/>
      </w:pPr>
      <w:bookmarkStart w:id="63" w:name="faza-2-europa-zachodnia"/>
      <w:r>
        <w:t xml:space="preserve">6.2 Faza 2 — Europa Zachodnia</w:t>
      </w:r>
      <w:bookmarkEnd w:id="63"/>
    </w:p>
    <w:p>
      <w:pPr>
        <w:pStyle w:val="FirstParagraph"/>
      </w:pPr>
      <w:r>
        <w:t xml:space="preserve">Rynki: Niemcy (~100 000 firm), Francja (~40 000), Holandia (~15 000), Belgia.</w:t>
      </w:r>
      <w:r>
        <w:t xml:space="preserve"> </w:t>
      </w:r>
      <w:r>
        <w:t xml:space="preserve">Wyższe oczekiwania, ale 2–3x wyższe ceny.</w:t>
      </w:r>
    </w:p>
    <w:p>
      <w:pPr>
        <w:numPr>
          <w:ilvl w:val="0"/>
          <w:numId w:val="1020"/>
        </w:numPr>
        <w:pStyle w:val="Compact"/>
      </w:pPr>
      <w:r>
        <w:t xml:space="preserve">☐ Tłumaczenie: niemiecki, francuski, niderlandzki</w:t>
      </w:r>
    </w:p>
    <w:p>
      <w:pPr>
        <w:numPr>
          <w:ilvl w:val="0"/>
          <w:numId w:val="1020"/>
        </w:numPr>
        <w:pStyle w:val="Compact"/>
      </w:pPr>
      <w:r>
        <w:t xml:space="preserve">☐ Cena: 9–15 EUR/pojazd/mc</w:t>
      </w:r>
    </w:p>
    <w:p>
      <w:pPr>
        <w:numPr>
          <w:ilvl w:val="0"/>
          <w:numId w:val="1020"/>
        </w:numPr>
        <w:pStyle w:val="Compact"/>
      </w:pPr>
      <w:r>
        <w:t xml:space="preserve">☐ Support po angielsku/niemiecku</w:t>
      </w:r>
    </w:p>
    <w:p>
      <w:pPr>
        <w:numPr>
          <w:ilvl w:val="0"/>
          <w:numId w:val="1020"/>
        </w:numPr>
        <w:pStyle w:val="Compact"/>
      </w:pPr>
      <w:r>
        <w:t xml:space="preserve">☐ Integracje z lokalnymi systemami (tachograf cyfrowy, pakiet mobilności UE)</w:t>
      </w:r>
    </w:p>
    <w:p>
      <w:pPr>
        <w:numPr>
          <w:ilvl w:val="0"/>
          <w:numId w:val="1020"/>
        </w:numPr>
        <w:pStyle w:val="Compact"/>
      </w:pPr>
      <w:r>
        <w:t xml:space="preserve">☐ Certyfikaty (ISO, DSGVO — niemiecki RODO)</w:t>
      </w:r>
    </w:p>
    <w:p>
      <w:pPr>
        <w:numPr>
          <w:ilvl w:val="0"/>
          <w:numId w:val="1020"/>
        </w:numPr>
        <w:pStyle w:val="Compact"/>
      </w:pPr>
      <w:r>
        <w:t xml:space="preserve">☐ Strefy czasowe (kierowca jedzie przez 3 kraje)</w:t>
      </w:r>
    </w:p>
    <w:p>
      <w:pPr>
        <w:pStyle w:val="Heading3"/>
      </w:pPr>
      <w:bookmarkStart w:id="64" w:name="faza-3-pełna-skala-eu"/>
      <w:r>
        <w:t xml:space="preserve">6.3 Faza 3 — Pełna skala EU</w:t>
      </w:r>
      <w:bookmarkEnd w:id="64"/>
    </w:p>
    <w:p>
      <w:pPr>
        <w:numPr>
          <w:ilvl w:val="0"/>
          <w:numId w:val="1021"/>
        </w:numPr>
        <w:pStyle w:val="Compact"/>
      </w:pPr>
      <w:r>
        <w:t xml:space="preserve">☐ API dla klientów Enterprise</w:t>
      </w:r>
    </w:p>
    <w:p>
      <w:pPr>
        <w:numPr>
          <w:ilvl w:val="0"/>
          <w:numId w:val="1021"/>
        </w:numPr>
        <w:pStyle w:val="Compact"/>
      </w:pPr>
      <w:r>
        <w:t xml:space="preserve">☐ Integracje GPS (Navifleet, Flotman, Samsara)</w:t>
      </w:r>
    </w:p>
    <w:p>
      <w:pPr>
        <w:numPr>
          <w:ilvl w:val="0"/>
          <w:numId w:val="1021"/>
        </w:numPr>
        <w:pStyle w:val="Compact"/>
      </w:pPr>
      <w:r>
        <w:t xml:space="preserve">☐ Moduł tachografu cyfrowego (pliki DDD — wymóg UE)</w:t>
      </w:r>
    </w:p>
    <w:p>
      <w:pPr>
        <w:numPr>
          <w:ilvl w:val="0"/>
          <w:numId w:val="1021"/>
        </w:numPr>
        <w:pStyle w:val="Compact"/>
      </w:pPr>
      <w:r>
        <w:t xml:space="preserve">☐ White-label dla partnerów/resellerów</w:t>
      </w:r>
    </w:p>
    <w:p>
      <w:pPr>
        <w:numPr>
          <w:ilvl w:val="0"/>
          <w:numId w:val="1021"/>
        </w:numPr>
        <w:pStyle w:val="Compact"/>
      </w:pPr>
      <w:r>
        <w:t xml:space="preserve">☐ Lokalne zespoły sprzedażowe lub partnerzy w kluczowych krajach</w:t>
      </w:r>
    </w:p>
    <w:p>
      <w:pPr>
        <w:pStyle w:val="Heading3"/>
      </w:pPr>
      <w:bookmarkStart w:id="65" w:name="prognoza-finansowa-europa"/>
      <w:r>
        <w:t xml:space="preserve">Prognoza finansowa — Europa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Scenariusz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Pojazdy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Roczny przychód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1 (PL)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5 600 EUR</w:t>
            </w:r>
          </w:p>
        </w:tc>
        <w:tc>
          <w:p>
            <w:pPr>
              <w:pStyle w:val="Compact"/>
              <w:jc w:val="left"/>
            </w:pPr>
            <w:r>
              <w:t xml:space="preserve">67 000 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2 (PL + CEE)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2 250</w:t>
            </w:r>
          </w:p>
        </w:tc>
        <w:tc>
          <w:p>
            <w:pPr>
              <w:pStyle w:val="Compact"/>
              <w:jc w:val="left"/>
            </w:pPr>
            <w:r>
              <w:t xml:space="preserve">15 750 EUR</w:t>
            </w:r>
          </w:p>
        </w:tc>
        <w:tc>
          <w:p>
            <w:pPr>
              <w:pStyle w:val="Compact"/>
              <w:jc w:val="left"/>
            </w:pPr>
            <w:r>
              <w:t xml:space="preserve">189 000 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3 (+ zachód EU)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5 250</w:t>
            </w:r>
          </w:p>
        </w:tc>
        <w:tc>
          <w:p>
            <w:pPr>
              <w:pStyle w:val="Compact"/>
              <w:jc w:val="left"/>
            </w:pPr>
            <w:r>
              <w:t xml:space="preserve">47 000 EUR</w:t>
            </w:r>
          </w:p>
        </w:tc>
        <w:tc>
          <w:p>
            <w:pPr>
              <w:pStyle w:val="Compact"/>
              <w:jc w:val="left"/>
            </w:pPr>
            <w:r>
              <w:t xml:space="preserve">564 000 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Rok 4 (skala EU)</w:t>
            </w:r>
          </w:p>
        </w:tc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10 500</w:t>
            </w:r>
          </w:p>
        </w:tc>
        <w:tc>
          <w:p>
            <w:pPr>
              <w:pStyle w:val="Compact"/>
              <w:jc w:val="left"/>
            </w:pPr>
            <w:r>
              <w:t xml:space="preserve">94 000 EUR</w:t>
            </w:r>
          </w:p>
        </w:tc>
        <w:tc>
          <w:p>
            <w:pPr>
              <w:pStyle w:val="Compact"/>
              <w:jc w:val="left"/>
            </w:pPr>
            <w:r>
              <w:t xml:space="preserve">1 130 000 EUR</w:t>
            </w:r>
          </w:p>
        </w:tc>
      </w:tr>
    </w:tbl>
    <w:p>
      <w:pPr>
        <w:pStyle w:val="BodyText"/>
      </w:pPr>
      <w:r>
        <w:rPr>
          <w:b/>
        </w:rPr>
        <w:t xml:space="preserve">Wartość firmy przy 1 mln EUR rocznego przychodu (mnożnik 5x): ~5 mln EUR (~21 mln PLN)</w:t>
      </w:r>
    </w:p>
    <w:p>
      <w:pPr>
        <w:pStyle w:val="Heading3"/>
      </w:pPr>
      <w:bookmarkStart w:id="66" w:name="rynek-docelowy"/>
      <w:r>
        <w:t xml:space="preserve">Rynek docelowy</w:t>
      </w:r>
      <w:bookmarkEnd w:id="66"/>
    </w:p>
    <w:p>
      <w:pPr>
        <w:numPr>
          <w:ilvl w:val="0"/>
          <w:numId w:val="1022"/>
        </w:numPr>
        <w:pStyle w:val="Compact"/>
      </w:pPr>
      <w:r>
        <w:t xml:space="preserve">UE: ~600 000 firm transportowych</w:t>
      </w:r>
    </w:p>
    <w:p>
      <w:pPr>
        <w:numPr>
          <w:ilvl w:val="0"/>
          <w:numId w:val="1022"/>
        </w:numPr>
        <w:pStyle w:val="Compact"/>
      </w:pPr>
      <w:r>
        <w:t xml:space="preserve">Polska: ~40 000 firm</w:t>
      </w:r>
    </w:p>
    <w:p>
      <w:pPr>
        <w:numPr>
          <w:ilvl w:val="0"/>
          <w:numId w:val="1022"/>
        </w:numPr>
        <w:pStyle w:val="Compact"/>
      </w:pPr>
      <w:r>
        <w:t xml:space="preserve">CEE łącznie: ~130 000 firm</w:t>
      </w:r>
    </w:p>
    <w:p>
      <w:pPr>
        <w:numPr>
          <w:ilvl w:val="0"/>
          <w:numId w:val="1022"/>
        </w:numPr>
        <w:pStyle w:val="Compact"/>
      </w:pPr>
      <w:r>
        <w:t xml:space="preserve">Potrzebujemy 0,1% rynku UE (700 firm) żeby dojść do 1 mln EUR/rok</w:t>
      </w:r>
    </w:p>
    <w:p>
      <w:pPr>
        <w:numPr>
          <w:ilvl w:val="0"/>
          <w:numId w:val="1022"/>
        </w:numPr>
        <w:pStyle w:val="Compact"/>
      </w:pPr>
      <w:r>
        <w:t xml:space="preserve">Przewaga: cena 2–5x niższa od konkurencji, prosty produkt dla małych firm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dziennik-sesji"/>
      <w:r>
        <w:t xml:space="preserve">Dziennik sesji</w:t>
      </w:r>
      <w:bookmarkEnd w:id="67"/>
    </w:p>
    <w:p>
      <w:pPr>
        <w:pStyle w:val="Heading3"/>
      </w:pPr>
      <w:bookmarkStart w:id="68" w:name="kwietnia-2026"/>
      <w:r>
        <w:t xml:space="preserve">1 kwietnia 2026</w:t>
      </w:r>
      <w:bookmarkEnd w:id="68"/>
    </w:p>
    <w:p>
      <w:pPr>
        <w:pStyle w:val="FirstParagraph"/>
      </w:pPr>
      <w:r>
        <w:rPr>
          <w:b/>
        </w:rPr>
        <w:t xml:space="preserve">Zrobione:</w:t>
      </w:r>
    </w:p>
    <w:p>
      <w:pPr>
        <w:numPr>
          <w:ilvl w:val="0"/>
          <w:numId w:val="1023"/>
        </w:numPr>
        <w:pStyle w:val="Compact"/>
      </w:pPr>
      <w:r>
        <w:t xml:space="preserve">Podłączenie CzasPracyModal do kart pojazdów w Przeglądzie (zastąpił stary inline panel)</w:t>
      </w:r>
    </w:p>
    <w:p>
      <w:pPr>
        <w:numPr>
          <w:ilvl w:val="0"/>
          <w:numId w:val="1023"/>
        </w:numPr>
        <w:pStyle w:val="Compact"/>
      </w:pPr>
      <w:r>
        <w:t xml:space="preserve">Usunięcie starego panelu Czas pracy (104 linie kodu usunięte)</w:t>
      </w:r>
    </w:p>
    <w:p>
      <w:pPr>
        <w:numPr>
          <w:ilvl w:val="0"/>
          <w:numId w:val="1023"/>
        </w:numPr>
        <w:pStyle w:val="Compact"/>
      </w:pPr>
      <w:r>
        <w:t xml:space="preserve">Aktualizacja sekcji przeglądu na dashboardzie pod nowy format statusów</w:t>
      </w:r>
    </w:p>
    <w:p>
      <w:pPr>
        <w:numPr>
          <w:ilvl w:val="0"/>
          <w:numId w:val="1023"/>
        </w:numPr>
        <w:pStyle w:val="Compact"/>
      </w:pPr>
      <w:r>
        <w:t xml:space="preserve">Dodanie godziny startu do wpisów — automatyczne wyliczanie godziny końca na podstawie typu pauzy</w:t>
      </w:r>
    </w:p>
    <w:p>
      <w:pPr>
        <w:numPr>
          <w:ilvl w:val="0"/>
          <w:numId w:val="1023"/>
        </w:numPr>
        <w:pStyle w:val="Compact"/>
      </w:pPr>
      <w:r>
        <w:t xml:space="preserve">Dodanie</w:t>
      </w:r>
      <w:r>
        <w:t xml:space="preserve"> </w:t>
      </w:r>
      <w:r>
        <w:t xml:space="preserve">“</w:t>
      </w:r>
      <w:r>
        <w:t xml:space="preserve">Pauza inne</w:t>
      </w:r>
      <w:r>
        <w:t xml:space="preserve">”</w:t>
      </w:r>
      <w:r>
        <w:t xml:space="preserve"> </w:t>
      </w:r>
      <w:r>
        <w:t xml:space="preserve">z polem na własną liczbę godzin (np. 34h)</w:t>
      </w:r>
    </w:p>
    <w:p>
      <w:pPr>
        <w:numPr>
          <w:ilvl w:val="0"/>
          <w:numId w:val="1023"/>
        </w:numPr>
        <w:pStyle w:val="Compact"/>
      </w:pPr>
      <w:r>
        <w:t xml:space="preserve">Dodanie notatek do każdego wpisu Czas pracy</w:t>
      </w:r>
    </w:p>
    <w:p>
      <w:pPr>
        <w:numPr>
          <w:ilvl w:val="0"/>
          <w:numId w:val="1023"/>
        </w:numPr>
        <w:pStyle w:val="Compact"/>
      </w:pPr>
      <w:r>
        <w:t xml:space="preserve">Zmiana auto-logout z 10 min sztywnego na 30 min bezczynności z lepszym wykrywaniem aktywności (11 typów eventów)</w:t>
      </w:r>
    </w:p>
    <w:p>
      <w:pPr>
        <w:numPr>
          <w:ilvl w:val="0"/>
          <w:numId w:val="1023"/>
        </w:numPr>
        <w:pStyle w:val="Compact"/>
      </w:pPr>
      <w:r>
        <w:t xml:space="preserve">Wycena aplikacji: 70 000–100 000 PLN (koszt wytworzenia)</w:t>
      </w:r>
    </w:p>
    <w:p>
      <w:pPr>
        <w:numPr>
          <w:ilvl w:val="0"/>
          <w:numId w:val="1023"/>
        </w:numPr>
        <w:pStyle w:val="Compact"/>
      </w:pPr>
      <w:r>
        <w:t xml:space="preserve">Roadmap komercjalizacji</w:t>
      </w:r>
    </w:p>
    <w:p>
      <w:pPr>
        <w:pStyle w:val="FirstParagraph"/>
      </w:pPr>
      <w:r>
        <w:rPr>
          <w:b/>
        </w:rPr>
        <w:t xml:space="preserve">Dodane do roadmapy:</w:t>
      </w:r>
    </w:p>
    <w:p>
      <w:pPr>
        <w:numPr>
          <w:ilvl w:val="0"/>
          <w:numId w:val="1024"/>
        </w:numPr>
        <w:pStyle w:val="Compact"/>
      </w:pPr>
      <w:r>
        <w:t xml:space="preserve">Model cenowy 29 PLN/pojazd + prognozy finansowe (PL i EU)</w:t>
      </w:r>
    </w:p>
    <w:p>
      <w:pPr>
        <w:numPr>
          <w:ilvl w:val="0"/>
          <w:numId w:val="1024"/>
        </w:numPr>
        <w:pStyle w:val="Compact"/>
      </w:pPr>
      <w:r>
        <w:t xml:space="preserve">Analiza konkurencji: Flotman, Fleetio, Samsara, Trans.eu, Simply Fleet, Webfleet, Azuga</w:t>
      </w:r>
    </w:p>
    <w:p>
      <w:pPr>
        <w:numPr>
          <w:ilvl w:val="0"/>
          <w:numId w:val="1024"/>
        </w:numPr>
        <w:pStyle w:val="Compact"/>
      </w:pPr>
      <w:r>
        <w:t xml:space="preserve">Porównanie funkcji — FleetStat jedyny w PL łączący koszty + faktury + czas pracy + dokumenty</w:t>
      </w:r>
    </w:p>
    <w:p>
      <w:pPr>
        <w:numPr>
          <w:ilvl w:val="0"/>
          <w:numId w:val="1024"/>
        </w:numPr>
        <w:pStyle w:val="Compact"/>
      </w:pPr>
      <w:r>
        <w:t xml:space="preserve">GPS tracking z partnerem WidziszWszystko (OBD2 + montaż)</w:t>
      </w:r>
    </w:p>
    <w:p>
      <w:pPr>
        <w:numPr>
          <w:ilvl w:val="0"/>
          <w:numId w:val="1024"/>
        </w:numPr>
        <w:pStyle w:val="Compact"/>
      </w:pPr>
      <w:r>
        <w:t xml:space="preserve">Ekspansja EU: CEE → zachód, prognoza do 1 mln EUR/rok</w:t>
      </w:r>
    </w:p>
    <w:p>
      <w:pPr>
        <w:numPr>
          <w:ilvl w:val="0"/>
          <w:numId w:val="1024"/>
        </w:numPr>
        <w:pStyle w:val="Compact"/>
      </w:pPr>
      <w:r>
        <w:t xml:space="preserve">Stack technologiczny + plan rozwoju infrastruktury (Firebase → Cloud Functions → PostgreSQL)</w:t>
      </w:r>
    </w:p>
    <w:p>
      <w:pPr>
        <w:numPr>
          <w:ilvl w:val="0"/>
          <w:numId w:val="1024"/>
        </w:numPr>
        <w:pStyle w:val="Compact"/>
      </w:pPr>
      <w:r>
        <w:t xml:space="preserve">Analiza bezpieczeństwa — 3 krytyczne priorytety (Firestore Rules, Custom Claims, Cloud Functions)</w:t>
      </w:r>
    </w:p>
    <w:p>
      <w:pPr>
        <w:numPr>
          <w:ilvl w:val="0"/>
          <w:numId w:val="1024"/>
        </w:numPr>
        <w:pStyle w:val="Compact"/>
      </w:pPr>
      <w:r>
        <w:t xml:space="preserve">Wiadomość do szefa z podsumowaniem projektu</w:t>
      </w:r>
    </w:p>
    <w:p>
      <w:pPr>
        <w:pStyle w:val="FirstParagraph"/>
      </w:pPr>
      <w:r>
        <w:rPr>
          <w:b/>
        </w:rPr>
        <w:t xml:space="preserve">Do zrobienia następnym razem (2 kwietnia):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RODO</w:t>
      </w:r>
      <w:r>
        <w:t xml:space="preserve"> </w:t>
      </w:r>
      <w:r>
        <w:t xml:space="preserve">— wdrożenie: polityka prywatności, umowa powierzenia, rejestr czynności, IOD, prawo do usunięcia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Certyfikaty</w:t>
      </w:r>
      <w:r>
        <w:t xml:space="preserve"> </w:t>
      </w:r>
      <w:r>
        <w:t xml:space="preserve">— czy potrzebne ISO 27001, SOC 2, certyfikaty transportowe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Licencje</w:t>
      </w:r>
      <w:r>
        <w:t xml:space="preserve"> </w:t>
      </w:r>
      <w:r>
        <w:t xml:space="preserve">— czy React, Firebase, Vercel, Tailwind pozwalają na komercyjne użycie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Firestore Security Rules</w:t>
      </w:r>
      <w:r>
        <w:t xml:space="preserve"> </w:t>
      </w:r>
      <w:r>
        <w:t xml:space="preserve">— napisanie reguł bezpieczeństwa (priorytet #1)</w:t>
      </w:r>
    </w:p>
    <w:p>
      <w:pPr>
        <w:numPr>
          <w:ilvl w:val="0"/>
          <w:numId w:val="1025"/>
        </w:numPr>
        <w:pStyle w:val="Compact"/>
      </w:pPr>
      <w:r>
        <w:t xml:space="preserve">Push ostatnich zmian kodu (notatki + pauza inne + logout)</w:t>
      </w:r>
    </w:p>
    <w:p>
      <w:pPr>
        <w:numPr>
          <w:ilvl w:val="0"/>
          <w:numId w:val="1025"/>
        </w:numPr>
        <w:pStyle w:val="Compact"/>
      </w:pPr>
      <w:r>
        <w:t xml:space="preserve">Testy manualne CzasPracyModal na produkcji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2026-04-01T20:55:00Z</dcterms:created>
  <dcterms:modified xsi:type="dcterms:W3CDTF">2026-04-01T20:55:00Z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