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1.07 — ENVIRONMENTAL ANALYSIS</w:t>
      </w:r>
    </w:p>
    <w:p>
      <w:r>
        <w:rPr>
          <w:b/>
          <w:color w:val="0B1F3A"/>
          <w:sz w:val="52"/>
        </w:rPr>
        <w:t>Environmental Analysis</w:t>
      </w:r>
    </w:p>
    <w:p>
      <w:r>
        <w:rPr>
          <w:color w:val="555555"/>
          <w:sz w:val="26"/>
        </w:rPr>
        <w:t>Al Safa 2 Park — Ecology, Water, Vegetation, Soil, Stormwater &amp; Noise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Ecology &amp; Biodiversity</w:t>
      </w:r>
    </w:p>
    <w:p>
      <w:pPr>
        <w:pStyle w:val="ListBullet"/>
      </w:pPr>
      <w:r>
        <w:rPr>
          <w:b w:val="0"/>
          <w:i w:val="0"/>
        </w:rPr>
        <w:t>Existing tree canopy (visible west portion of site) is the primary existing ecological asset — mature trees in Dubai's residential parks are typically Ghaf (Prosopis cineraria - UAE national tree), Neem, Ficus, and date palm plantings; species cannot be confirmed without the DWG planting layer or a site visit.</w:t>
      </w:r>
    </w:p>
    <w:p>
      <w:pPr>
        <w:pStyle w:val="ListBullet"/>
      </w:pPr>
      <w:r>
        <w:rPr>
          <w:b w:val="0"/>
          <w:i w:val="0"/>
        </w:rPr>
        <w:t>No water bodies visible on site — no aquatic habitat present currently.</w:t>
      </w:r>
    </w:p>
    <w:p>
      <w:pPr>
        <w:pStyle w:val="ListBullet"/>
      </w:pPr>
      <w:r>
        <w:rPr>
          <w:b w:val="0"/>
          <w:i w:val="0"/>
        </w:rPr>
        <w:t>As an isolated urban green patch, the park likely functions as a stepping-stone habitat for birds and urban-tolerant species rather than a primary habitat corridor.</w:t>
      </w:r>
    </w:p>
    <w:p>
      <w:pPr>
        <w:pStyle w:val="Heading1"/>
      </w:pPr>
      <w:r>
        <w:rPr>
          <w:color w:val="0B1F3A"/>
          <w:sz w:val="30"/>
        </w:rPr>
        <w:t>2. Water</w:t>
      </w:r>
    </w:p>
    <w:p>
      <w:r>
        <w:rPr>
          <w:b w:val="0"/>
          <w:i w:val="0"/>
        </w:rPr>
        <w:t>No existing water features identified. Dubai's water context (Climate Analysis, Phase 1.05): near-zero rainfall Jun-Sep, light rainfall Dec-Feb (~15-23mm/month) — any landscape strategy must assume irrigation-dependent planting, reinforcing the brief's call for water-sensitive design and sustainable irrigation.</w:t>
      </w:r>
    </w:p>
    <w:p>
      <w:pPr>
        <w:pStyle w:val="Heading1"/>
      </w:pPr>
      <w:r>
        <w:rPr>
          <w:color w:val="0B1F3A"/>
          <w:sz w:val="30"/>
        </w:rPr>
        <w:t>3. Vegetation</w:t>
      </w:r>
    </w:p>
    <w:p>
      <w:r>
        <w:rPr>
          <w:b w:val="0"/>
          <w:i w:val="0"/>
        </w:rPr>
        <w:t>Visible canopy concentration = west side of site; east side reads more open/hardscape in the aerial graphic. This asymmetry is a genuine existing condition worth carrying into Phase 2 as a potential shade-equity issue.</w:t>
      </w:r>
    </w:p>
    <w:p>
      <w:pPr>
        <w:pStyle w:val="Heading1"/>
      </w:pPr>
      <w:r>
        <w:rPr>
          <w:color w:val="0B1F3A"/>
          <w:sz w:val="30"/>
        </w:rPr>
        <w:t>4-8. Soil, Stormwater, Carbon, Habitat, Air, Noise, Visual Corridors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Soil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geotechnical data provided; regional assumption only (calcareous sandy soils typical of Dubai) — logged as gap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Stormwater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infrastructure data available (sits in DWG utilities layer, pending conversion)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Carbon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baseline data; would need modeling once species/quantities known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Habitat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Likely supports common urban bird species; no formal survey data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Noise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Sheikh Zayed Road (E11) borders east edge — confirmed major noise source requiring acoustic buffering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Air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air quality monitoring data for this specific site; SZR proximity is a qualitative concern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Visual Corridors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confirmed skyline sightline data for this specific site; internal circular plaza appears to be a potential focal point (unconfirmed function)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9. Summary of Data Status</w:t>
      </w:r>
    </w:p>
    <w:p>
      <w:r>
        <w:rPr>
          <w:b w:val="0"/>
          <w:i w:val="0"/>
        </w:rPr>
        <w:t>Most items above are qualitative/contextual reads from the one available graphic plus regional climate knowledge. Quantitative/scientific data (soil tests, stormwater capacity, noise dB readings, carbon baselines, biodiversity surveys) require sources not included in the competition package and are logged as gaps in 00_MASTER_TRACKER.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