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1.09 — HUMAN ANALYSIS</w:t>
      </w:r>
    </w:p>
    <w:p>
      <w:r>
        <w:rPr>
          <w:b/>
          <w:color w:val="0B1F3A"/>
          <w:sz w:val="52"/>
        </w:rPr>
        <w:t>Human Analysis</w:t>
      </w:r>
    </w:p>
    <w:p>
      <w:r>
        <w:rPr>
          <w:color w:val="555555"/>
          <w:sz w:val="26"/>
        </w:rPr>
        <w:t>Al Safa 2 Park — User Groups (Brief + Neighborhood Parks Manual)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User Groups Named in the Competition Brief</w:t>
      </w:r>
    </w:p>
    <w:p>
      <w:r>
        <w:rPr>
          <w:b w:val="0"/>
          <w:i w:val="0"/>
        </w:rPr>
        <w:t>The brief (Schedule 1, Section B) explicitly requires consideration of: Children, Youth, Families, Older adults, People of Determination.</w:t>
      </w:r>
    </w:p>
    <w:p>
      <w:pPr>
        <w:pStyle w:val="Heading1"/>
      </w:pPr>
      <w:r>
        <w:rPr>
          <w:color w:val="0B1F3A"/>
          <w:sz w:val="30"/>
        </w:rPr>
        <w:t>2. Target Audience per Neighborhood Parks Manual</w:t>
      </w:r>
    </w:p>
    <w:p>
      <w:r>
        <w:rPr>
          <w:b w:val="0"/>
          <w:i w:val="0"/>
        </w:rPr>
        <w:t>Families, Sport enthusiasts, Picnickers, Teenagers, Pet owners.</w:t>
      </w:r>
    </w:p>
    <w:p>
      <w:pPr>
        <w:pStyle w:val="Heading1"/>
      </w:pPr>
      <w:r>
        <w:rPr>
          <w:color w:val="0B1F3A"/>
          <w:sz w:val="30"/>
        </w:rPr>
        <w:t>3. Target Parameters (Manual Benchmarks)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Benchmark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Duration of visit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1-3 hours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Peak visitor capacity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150-400 visitors per 10,000 sqm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Number of events supported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S: 60+/yr, M: 24+/yr, L: 3+/yr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Gross spend per visit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AED 20-80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Leasable commercial area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~15% of total park area / 2-5 sqm per visitor</w:t>
            </w:r>
          </w:p>
        </w:tc>
      </w:tr>
    </w:tbl>
    <w:p/>
    <w:p>
      <w:r>
        <w:rPr>
          <w:b w:val="0"/>
          <w:i w:val="0"/>
        </w:rPr>
        <w:t xml:space="preserve">Applying the capacity benchmark to this site's 15,000 sqm: indicative peak capacity range is approximately </w:t>
      </w:r>
      <w:r>
        <w:rPr>
          <w:b/>
          <w:i w:val="0"/>
        </w:rPr>
        <w:t>225-600 visitors</w:t>
      </w:r>
      <w:r>
        <w:rPr>
          <w:b w:val="0"/>
          <w:i w:val="0"/>
        </w:rPr>
        <w:t xml:space="preserve"> — a benchmark-derived estimate, not a measured figure.</w:t>
      </w:r>
    </w:p>
    <w:p>
      <w:pPr>
        <w:pStyle w:val="Heading1"/>
      </w:pPr>
      <w:r>
        <w:rPr>
          <w:color w:val="0B1F3A"/>
          <w:sz w:val="30"/>
        </w:rPr>
        <w:t>4. Office Workers, Students, Visitors</w:t>
      </w:r>
    </w:p>
    <w:p>
      <w:r>
        <w:rPr>
          <w:b w:val="0"/>
          <w:i w:val="0"/>
        </w:rPr>
        <w:t>Not explicitly addressed in the brief; but given adjacency to Umm Suqeim Model School for Basic Education (confirmed from master-plan graphic), student/school-day traffic is a plausible real user group worth carrying forward even though not explicitly named in the brief. City-wide "visitors" are also relevant given this is a flagship AI Design Challenge site.</w:t>
      </w:r>
    </w:p>
    <w:p>
      <w:pPr>
        <w:pStyle w:val="Heading1"/>
      </w:pPr>
      <w:r>
        <w:rPr>
          <w:color w:val="0B1F3A"/>
          <w:sz w:val="30"/>
        </w:rPr>
        <w:t>5. Activity Mapping, Movement, Behavior, Comfort, Needs — Data Status</w:t>
      </w:r>
    </w:p>
    <w:p>
      <w:r>
        <w:rPr>
          <w:b w:val="0"/>
          <w:i w:val="0"/>
        </w:rPr>
        <w:t xml:space="preserve">Genuine behavioral data (movement heatmaps, dwell-time studies, comfort surveys) requires either an actual site visit/observation study or sensor/mobile-location data — neither is available in the provided competition package. The brief explicitly asks participants to address this using AI tools (persona simulation, movement pattern analysis) as part of the design process — meaning it is expected to be </w:t>
      </w:r>
      <w:r>
        <w:rPr>
          <w:b w:val="0"/>
          <w:i/>
        </w:rPr>
        <w:t>produced</w:t>
      </w:r>
      <w:r>
        <w:rPr>
          <w:b w:val="0"/>
          <w:i w:val="0"/>
        </w:rPr>
        <w:t xml:space="preserve"> in later phases, not sourced as existing data now.</w:t>
      </w:r>
    </w:p>
    <w:p>
      <w:pPr>
        <w:pStyle w:val="Heading1"/>
      </w:pPr>
      <w:r>
        <w:rPr>
          <w:color w:val="0B1F3A"/>
          <w:sz w:val="30"/>
        </w:rPr>
        <w:t>6. What Belongs Here vs. Later</w:t>
      </w:r>
    </w:p>
    <w:p>
      <w:r>
        <w:rPr>
          <w:b w:val="0"/>
          <w:i w:val="0"/>
        </w:rPr>
        <w:t>This document captures the known, evidence-based facts about who uses/will use the park. Persona development, journey mapping, and behavior simulation are correctly deferred to Phase 8 (User Experience &amp; Activation) and Phase 4.5 (AI-Assisted Exploration).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