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1.10 — ACCESSIBILITY ANALYSIS</w:t>
      </w:r>
    </w:p>
    <w:p>
      <w:r>
        <w:rPr>
          <w:b/>
          <w:color w:val="0B1F3A"/>
          <w:sz w:val="52"/>
        </w:rPr>
        <w:t>Accessibility Analysis</w:t>
      </w:r>
    </w:p>
    <w:p>
      <w:r>
        <w:rPr>
          <w:color w:val="555555"/>
          <w:sz w:val="26"/>
        </w:rPr>
        <w:t>Al Safa 2 Park — Existing Conditions Baseline (Pre-Design)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B1F3A"/>
          <w:sz w:val="30"/>
        </w:rPr>
        <w:t>1. Brief Requirements (Schedule 1, Section D)</w:t>
      </w:r>
    </w:p>
    <w:p>
      <w:pPr>
        <w:pStyle w:val="ListBullet"/>
      </w:pPr>
      <w:r>
        <w:rPr>
          <w:b w:val="0"/>
          <w:i w:val="0"/>
        </w:rPr>
        <w:t>Universal design principles; equitable access for all users including People of Determination.</w:t>
      </w:r>
    </w:p>
    <w:p>
      <w:pPr>
        <w:pStyle w:val="ListBullet"/>
      </w:pPr>
      <w:r>
        <w:rPr>
          <w:b w:val="0"/>
          <w:i w:val="0"/>
        </w:rPr>
        <w:t>Safe, intuitive, accessible circulation throughout the park.</w:t>
      </w:r>
    </w:p>
    <w:p>
      <w:pPr>
        <w:pStyle w:val="ListBullet"/>
      </w:pPr>
      <w:r>
        <w:rPr>
          <w:b w:val="0"/>
          <w:i w:val="0"/>
        </w:rPr>
        <w:t>Consideration of children, youth, families, older adults, People of Determination.</w:t>
      </w:r>
    </w:p>
    <w:p>
      <w:pPr>
        <w:pStyle w:val="ListBullet"/>
      </w:pPr>
      <w:r>
        <w:rPr>
          <w:b w:val="0"/>
          <w:i w:val="0"/>
        </w:rPr>
        <w:t>AI/data-driven approaches encouraged to improve accessibility and user experience.</w:t>
      </w:r>
    </w:p>
    <w:p>
      <w:pPr>
        <w:pStyle w:val="Heading1"/>
      </w:pPr>
      <w:r>
        <w:rPr>
          <w:color w:val="0B1F3A"/>
          <w:sz w:val="30"/>
        </w:rPr>
        <w:t>2. Existing Conditions — What We Can Assess 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Aspect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Wheelchair route continuity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Unknown — requires DWG path/level data or site visit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Stroller/pram usability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Unknown — same as above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Slopes/gradients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Unknown — requires survey/contour data (may exist in DWG once converted)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Wayfinding signage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visible in provided graphic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Lighting for safety/visibility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visible in provided graphic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Accessible parking/drop-off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confirmed — see Transportation Analysis (1.08) gap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Tactile paving / accessible surfacing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Unknown — requires DWG material layer or site visit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3. Honest Baseline Statement</w:t>
      </w:r>
    </w:p>
    <w:p>
      <w:r>
        <w:rPr>
          <w:b w:val="0"/>
          <w:i w:val="0"/>
        </w:rPr>
        <w:t>There is currently no verified accessibility audit data for the existing Al Safa 2 Park in the materials provided. This is not unusual for an as-built park predating explicit universal-design requirements, but it means any claim about the existing park being accessible or inaccessible would be speculation. The correct, defensible position for the submission is:</w:t>
      </w:r>
    </w:p>
    <w:p>
      <w:r>
        <w:rPr>
          <w:b w:val="0"/>
          <w:i w:val="0"/>
        </w:rPr>
        <w:t>"Existing accessibility conditions could not be fully verified from available records; the proposed design will be built to full universal-design compliance regardless of baseline, per the Brief's explicit requirement."</w:t>
      </w:r>
    </w:p>
    <w:p>
      <w:pPr>
        <w:pStyle w:val="Heading1"/>
      </w:pPr>
      <w:r>
        <w:rPr>
          <w:color w:val="0B1F3A"/>
          <w:sz w:val="30"/>
        </w:rPr>
        <w:t>4. Carry-Forward</w:t>
      </w:r>
    </w:p>
    <w:p>
      <w:r>
        <w:rPr>
          <w:b w:val="0"/>
          <w:i w:val="0"/>
        </w:rPr>
        <w:t>Accessibility as a design requirement (not existing-condition analysis) belongs in Phase 3.4 (Project Objectives), Phase 5.7 (Master Plan Accessibility), and Phase 8.8 (Inclusive Design). This document only establishes the baseline: largely undocumented, therefore treated as a blank slate requiring full universal-design application in the new design.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